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B65BF2" w:rsidRPr="00B65BF2" w:rsidTr="00B65BF2">
        <w:trPr>
          <w:tblCellSpacing w:w="0" w:type="dxa"/>
          <w:jc w:val="center"/>
        </w:trPr>
        <w:tc>
          <w:tcPr>
            <w:tcW w:w="0" w:type="auto"/>
            <w:shd w:val="clear" w:color="auto" w:fill="F0F6F9"/>
            <w:vAlign w:val="center"/>
            <w:hideMark/>
          </w:tcPr>
          <w:tbl>
            <w:tblPr>
              <w:tblW w:w="9406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B65BF2" w:rsidRPr="00B65BF2" w:rsidTr="00197E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06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00"/>
                    <w:gridCol w:w="6"/>
                  </w:tblGrid>
                  <w:tr w:rsidR="003068BC" w:rsidRPr="00B65BF2" w:rsidTr="00197EB9">
                    <w:trPr>
                      <w:tblCellSpacing w:w="0" w:type="dxa"/>
                    </w:trPr>
                    <w:tc>
                      <w:tcPr>
                        <w:tcW w:w="9400" w:type="dxa"/>
                        <w:shd w:val="clear" w:color="auto" w:fill="8D8F8E"/>
                        <w:vAlign w:val="center"/>
                        <w:hideMark/>
                      </w:tcPr>
                      <w:tbl>
                        <w:tblPr>
                          <w:tblW w:w="9498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54"/>
                          <w:gridCol w:w="2444"/>
                        </w:tblGrid>
                        <w:tr w:rsidR="003068BC" w:rsidRPr="00AC1A39" w:rsidTr="00F76E86">
                          <w:trPr>
                            <w:tblCellSpacing w:w="0" w:type="dxa"/>
                          </w:trPr>
                          <w:tc>
                            <w:tcPr>
                              <w:tcW w:w="7054" w:type="dxa"/>
                              <w:shd w:val="clear" w:color="auto" w:fill="8D8F8E"/>
                              <w:vAlign w:val="center"/>
                            </w:tcPr>
                            <w:p w:rsidR="003068BC" w:rsidRPr="00AC1A39" w:rsidRDefault="003068BC" w:rsidP="00197EB9">
                              <w:pPr>
                                <w:ind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3068BC" w:rsidRPr="00882630" w:rsidRDefault="003068BC" w:rsidP="00197EB9">
                              <w:pPr>
                                <w:ind w:right="5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8263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Съвет</w:t>
                              </w:r>
                              <w:proofErr w:type="spellEnd"/>
                              <w:r w:rsidRPr="0088263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по </w:t>
                              </w:r>
                              <w:proofErr w:type="spellStart"/>
                              <w:r w:rsidRPr="0088263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международни</w:t>
                              </w:r>
                              <w:proofErr w:type="spellEnd"/>
                              <w:r w:rsidRPr="0088263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8263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счетоводни</w:t>
                              </w:r>
                              <w:proofErr w:type="spellEnd"/>
                              <w:r w:rsidRPr="00882630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стандарти</w:t>
                              </w:r>
                            </w:p>
                            <w:p w:rsidR="003068BC" w:rsidRPr="00AC1A39" w:rsidRDefault="003068BC" w:rsidP="00197EB9">
                              <w:pPr>
                                <w:ind w:right="50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C1A3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Периодичен</w:t>
                              </w:r>
                              <w:proofErr w:type="spellEnd"/>
                              <w:r w:rsidRPr="00AC1A3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C1A3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преглед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068BC" w:rsidRPr="00AC1A39" w:rsidRDefault="003068BC" w:rsidP="00197EB9">
                              <w:pPr>
                                <w:ind w:right="5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C1A39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val="bg-BG" w:eastAsia="bg-BG"/>
                                </w:rPr>
                                <w:drawing>
                                  <wp:inline distT="0" distB="0" distL="0" distR="0">
                                    <wp:extent cx="1351915" cy="246380"/>
                                    <wp:effectExtent l="19050" t="0" r="635" b="0"/>
                                    <wp:docPr id="3" name="Picture 3" descr="IASB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ASB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191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068BC" w:rsidRPr="001B743A" w:rsidRDefault="003068BC" w:rsidP="00197EB9">
                        <w:pPr>
                          <w:ind w:right="50"/>
                          <w:rPr>
                            <w:color w:val="FFFFFF"/>
                          </w:rPr>
                        </w:pPr>
                      </w:p>
                    </w:tc>
                    <w:tc>
                      <w:tcPr>
                        <w:tcW w:w="6" w:type="dxa"/>
                        <w:shd w:val="clear" w:color="auto" w:fill="FFFFFF"/>
                        <w:vAlign w:val="center"/>
                        <w:hideMark/>
                      </w:tcPr>
                      <w:p w:rsidR="003068BC" w:rsidRPr="001B743A" w:rsidRDefault="003068BC" w:rsidP="00197EB9">
                        <w:pPr>
                          <w:ind w:right="5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68BC" w:rsidRPr="00B65BF2" w:rsidTr="00197EB9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9400" w:type="dxa"/>
                        <w:tcBorders>
                          <w:top w:val="single" w:sz="8" w:space="0" w:color="FFFFFF"/>
                        </w:tcBorders>
                        <w:shd w:val="clear" w:color="auto" w:fill="B9D4E5"/>
                        <w:tcMar>
                          <w:top w:w="23" w:type="dxa"/>
                          <w:left w:w="0" w:type="dxa"/>
                          <w:bottom w:w="23" w:type="dxa"/>
                          <w:right w:w="173" w:type="dxa"/>
                        </w:tcMar>
                        <w:vAlign w:val="center"/>
                        <w:hideMark/>
                      </w:tcPr>
                      <w:p w:rsidR="003068BC" w:rsidRPr="000E3CCF" w:rsidRDefault="003068BC" w:rsidP="00197EB9">
                        <w:pPr>
                          <w:ind w:right="50"/>
                          <w:jc w:val="right"/>
                          <w:rPr>
                            <w:rFonts w:ascii="Arial" w:hAnsi="Arial" w:cs="Arial"/>
                            <w:color w:val="46464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val="bg-BG"/>
                          </w:rPr>
                          <w:t>Октомври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</w:rPr>
                          <w:t xml:space="preserve"> 2016 г.</w:t>
                        </w:r>
                      </w:p>
                    </w:tc>
                  </w:tr>
                  <w:tr w:rsidR="00B65BF2" w:rsidRPr="00B65BF2" w:rsidTr="00197EB9">
                    <w:trPr>
                      <w:gridAfter w:val="1"/>
                      <w:wAfter w:w="6" w:type="dxa"/>
                      <w:trHeight w:val="300"/>
                      <w:tblCellSpacing w:w="0" w:type="dxa"/>
                    </w:trPr>
                    <w:tc>
                      <w:tcPr>
                        <w:tcW w:w="9400" w:type="dxa"/>
                        <w:shd w:val="clear" w:color="auto" w:fill="FFFFFF"/>
                        <w:vAlign w:val="center"/>
                        <w:hideMark/>
                      </w:tcPr>
                      <w:p w:rsidR="00B65BF2" w:rsidRPr="00B65BF2" w:rsidRDefault="00B65BF2" w:rsidP="00197EB9">
                        <w:pPr>
                          <w:spacing w:after="0" w:line="240" w:lineRule="auto"/>
                          <w:ind w:right="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BF2" w:rsidRPr="00B65BF2" w:rsidTr="00197EB9">
                    <w:trPr>
                      <w:gridAfter w:val="1"/>
                      <w:wAfter w:w="6" w:type="dxa"/>
                      <w:tblCellSpacing w:w="0" w:type="dxa"/>
                    </w:trPr>
                    <w:tc>
                      <w:tcPr>
                        <w:tcW w:w="94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1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6"/>
                        </w:tblGrid>
                        <w:tr w:rsidR="00B65BF2" w:rsidRPr="00B65BF2" w:rsidTr="00197EB9">
                          <w:trPr>
                            <w:tblCellSpacing w:w="0" w:type="dxa"/>
                          </w:trPr>
                          <w:tc>
                            <w:tcPr>
                              <w:tcW w:w="9356" w:type="dxa"/>
                              <w:vAlign w:val="center"/>
                              <w:hideMark/>
                            </w:tcPr>
                            <w:tbl>
                              <w:tblPr>
                                <w:tblW w:w="8899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79"/>
                                <w:gridCol w:w="20"/>
                              </w:tblGrid>
                              <w:tr w:rsidR="00B65BF2" w:rsidRPr="00B65BF2" w:rsidTr="00197E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8879" w:type="dxa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3068BC" w:rsidRDefault="003068BC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Настоящият бюлетин на </w:t>
                                    </w:r>
                                    <w:proofErr w:type="gramStart"/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Съвета по международни счетоводни стандарти (</w:t>
                                    </w:r>
                                    <w:r w:rsidR="00BB24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IASB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) (”Съветът”) представя предварителните решения на Съвета</w:t>
                                    </w:r>
                                    <w:proofErr w:type="gramEnd"/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. Окончателните решения на Съвета </w:t>
                                    </w:r>
                                    <w:proofErr w:type="gramStart"/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стандарти, изменения и разяснения се подлагат на официално гласуване, съгласно предвиденото в 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Ръководството по регламентираната процедура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Фондация МСФО (</w:t>
                                    </w:r>
                                    <w:r w:rsidR="00BB24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IFRS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vertAlign w:val="superscript"/>
                                        <w:lang w:val="bg-BG"/>
                                      </w:rPr>
                                      <w:t>®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Foundation) и Комитета по разясненията на МСФО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B65BF2" w:rsidRPr="003068BC" w:rsidRDefault="003068BC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18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19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октомври</w:t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2016 г. Съветът проведе публични заседания в офисите на Фондация МСФО в Лондон, Великобритания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  <w:r w:rsidRPr="003068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1" w:history="1">
                                      <w:r w:rsidR="002349C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4"/>
                                        </w:rPr>
                                        <w:t>МСФО</w:t>
                                      </w:r>
                                      <w:r w:rsidR="00B65BF2" w:rsidRPr="00B65BF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4"/>
                                        </w:rPr>
                                        <w:t xml:space="preserve"> </w:t>
                                      </w:r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за МСП</w:t>
                                      </w:r>
                                    </w:hyperlink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2" w:history="1"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Инициатива за оповестяване</w:t>
                                      </w:r>
                                      <w:r w:rsidR="00B65BF2" w:rsidRPr="00B65BF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 xml:space="preserve">: </w:t>
                                      </w:r>
                                      <w:r w:rsidR="00BB246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п</w:t>
                                      </w:r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ринципи на оповестяването</w:t>
                                      </w:r>
                                    </w:hyperlink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3" w:history="1"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Инициатива за оповестяване</w:t>
                                      </w:r>
                                      <w:r w:rsidR="00B65BF2" w:rsidRPr="00B65BF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 xml:space="preserve">: </w:t>
                                      </w:r>
                                      <w:r w:rsidR="00BB246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н</w:t>
                                      </w:r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иво на същественост</w:t>
                                      </w:r>
                                    </w:hyperlink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4" w:history="1"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Концептуална рамка</w:t>
                                      </w:r>
                                    </w:hyperlink>
                                  </w:p>
                                  <w:p w:rsidR="00B65BF2" w:rsidRPr="00197EB9" w:rsidRDefault="00197EB9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4"/>
                                      </w:rPr>
                                    </w:pPr>
                                    <w:r w:rsidRPr="00197E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4"/>
                                      </w:rPr>
                                      <w:t xml:space="preserve">Изменение на </w:t>
                                    </w:r>
                                    <w:hyperlink w:anchor="5" w:history="1">
                                      <w:r w:rsidR="002349C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>МСФО</w:t>
                                      </w:r>
                                      <w:r w:rsidR="00B65BF2" w:rsidRPr="00B65BF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</w:rPr>
                                        <w:t xml:space="preserve"> 8</w:t>
                                      </w:r>
                                    </w:hyperlink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6" w:history="1">
                                      <w:r w:rsidR="00197EB9" w:rsidRP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Обществено допитване във връзка с програмата</w:t>
                                      </w:r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 xml:space="preserve"> 2015 г.</w:t>
                                      </w:r>
                                    </w:hyperlink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7" w:history="1"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Въпроси, свързани с прилагането на МСФО</w:t>
                                      </w:r>
                                    </w:hyperlink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8" w:history="1"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Финансови инструменти с характеристики на собствен капитал</w:t>
                                      </w:r>
                                    </w:hyperlink>
                                  </w:p>
                                  <w:p w:rsidR="00B65BF2" w:rsidRPr="00B65BF2" w:rsidRDefault="007B1ADB" w:rsidP="00197EB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4"/>
                                        <w:szCs w:val="14"/>
                                      </w:rPr>
                                    </w:pPr>
                                    <w:hyperlink w:anchor="9" w:history="1">
                                      <w:r w:rsidR="00197EB9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Актуална информация във връзка с изследователските проекти</w:t>
                                      </w:r>
                                    </w:hyperlink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="00B65BF2" w:rsidRPr="00B65BF2" w:rsidRDefault="00B65BF2" w:rsidP="00197EB9">
                                    <w:pPr>
                                      <w:spacing w:after="0" w:line="240" w:lineRule="auto"/>
                                      <w:ind w:right="50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65BF2" w:rsidRPr="00B65BF2" w:rsidTr="00197EB9">
                                <w:trPr>
                                  <w:gridAfter w:val="1"/>
                                  <w:wAfter w:w="20" w:type="dxa"/>
                                  <w:tblCellSpacing w:w="0" w:type="dxa"/>
                                </w:trPr>
                                <w:tc>
                                  <w:tcPr>
                                    <w:tcW w:w="8879" w:type="dxa"/>
                                    <w:tcMar>
                                      <w:top w:w="288" w:type="dxa"/>
                                      <w:left w:w="346" w:type="dxa"/>
                                      <w:bottom w:w="0" w:type="dxa"/>
                                      <w:right w:w="115" w:type="dxa"/>
                                    </w:tcMar>
                                    <w:vAlign w:val="center"/>
                                    <w:hideMark/>
                                  </w:tcPr>
                                  <w:p w:rsidR="00B65BF2" w:rsidRPr="00B65BF2" w:rsidRDefault="00197EB9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0" w:name="1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Срокове във връзка със следващия преглед на стандарта „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  <w:lang w:val="bg-BG"/>
                                      </w:rPr>
                                      <w:t>за МСП”</w:t>
                                    </w:r>
                                    <w:bookmarkEnd w:id="0"/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7)</w:t>
                                    </w:r>
                                  </w:p>
                                  <w:p w:rsidR="00B65BF2" w:rsidRPr="00B65BF2" w:rsidRDefault="006271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18 октомври 2016 г. 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дали през тази година да стартира междинен преглед на Стандарта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МСФО за МСП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Междинният преглед </w:t>
                                    </w:r>
                                    <w:proofErr w:type="gramStart"/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вземе</w:t>
                                    </w:r>
                                    <w:proofErr w:type="gramEnd"/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под внимание промените в нови и изменени пълни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стандарти и възникнали спешни въпроси.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обратната информация, получена от Групата за въвеждане на стандарта за МСП и в съответствие с тази обратна информация реши да не извършва предварително междинен преглед на стандарта „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МСФО за МСП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”</w:t>
                                    </w:r>
                                    <w:r w:rsidR="00F75CC6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преди следващия всеобхватен преглед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Нито един от членовете на Съвета не възрази срещу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Очаква се следващият всеобхватен преглед на стандарта „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МСФО за МСП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”</w:t>
                                    </w:r>
                                    <w:r w:rsidR="00F75CC6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стартира в началото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2019</w:t>
                                    </w:r>
                                    <w:r w:rsidR="000024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00241E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Преди следващия всеобхватен преглед екипът ще работи съвместно 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Групата за въвеждане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стандарта за МСП, за да разгледа как промените в новите или изменени пълни МСФО стандарти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биха могли да засегнат МСП и как тези изменения биха могли да бъдат включени в стандарта „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МСФО за МСП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197EB9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1" w:name="2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Инициатива за оповестяване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bookmarkEnd w:id="1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принципи на оповестяването 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11)</w:t>
                                    </w:r>
                                  </w:p>
                                  <w:p w:rsidR="00B65BF2" w:rsidRPr="00B65BF2" w:rsidRDefault="009129E1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октомври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година Съветът реши, че периодът за предоставяне на коментари във връзка с Документа за обсъждане „Принципи на оповестяването” следва да бъде 180 дни.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9129E1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За да се даде възможност на членовете на Съвета да се фокусират върху извършвания от тях преглед на предстоящия да влезе в сила МСФО стандарт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застрахователните договори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DD5A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очакваното публикуване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Документа за обсъждане „Принципи на оповестяването” бе отсрочен</w:t>
                                    </w:r>
                                    <w:r w:rsidR="00DD5A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 декември 2016 г. за първата половина на 2017 година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197EB9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2" w:name="3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Инициатива за оповестяване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bookmarkEnd w:id="2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ниво на същественост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11)</w:t>
                                    </w:r>
                                  </w:p>
                                  <w:p w:rsidR="00B65BF2" w:rsidRPr="00B65BF2" w:rsidRDefault="006271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18 октомври 2016 г.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C6A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коментарите, получени по повод Проекта за обсъждане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C6A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във връзка 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6C6A1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Прилагане на нивото на същественост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6C6A1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по отношение на финансовия отчет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 w:rsidR="006C6A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„проектът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6C6A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).</w:t>
                                    </w:r>
                                  </w:p>
                                  <w:p w:rsidR="00B65BF2" w:rsidRPr="00B65BF2" w:rsidRDefault="006C6A1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Проектът на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 публикуван през октомври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2015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година със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120-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дневен период за предоставяне на коментари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Предложената цел на проекта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е да подпомогне ръководството при прилагането на концепцията за ниво на същественост спрямо финансовите отчети с общо предназначение, изготвени с помощта на стандартите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C87E7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6C6A1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C87E7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Аудитория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C87E7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фокус и дефиниция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87E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аудиторията и фокуса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DE0AC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дефиницията за ниво на същественост, която ще бъде използвана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DE0ACE" w:rsidP="00197E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поясни,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адресира прилагането на концепцията за ниво на същественост при изготвянето на финансовия отчет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DE0ACE" w:rsidP="00197E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потвърди,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може да е от полза и за други страни, освен тези, ангажирани с изготвянето на финансовия отчет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DE0ACE" w:rsidP="00197E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замени термина „ръководство” с термина „предприятие” в цялото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DE0ACE" w:rsidP="00197E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се съсредоточи върху прилагането на концепцията за ниво на същественост единствено при изготвяне на финансовия отчет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B858E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Десет от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дванадесетте</w:t>
                                    </w:r>
                                    <w:r w:rsidR="00B858E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DE0ACE" w:rsidP="00197E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включи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обяснението на дефиницията за ниво на същественост, съдържаща се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Представяне на финансови отчети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че предприятието трябва да вземе под внимание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„начина, по който може разумно да се очаква потребителите да бъдат повлияни при вземането на икономически решения”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да използва това разяснение последователно в цялото Изложение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DE0ACE" w:rsidP="00197EB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не прави промени в дефиницията за ниво на същественост в стандартите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рамките на този проект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8810C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35290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Нужди и очаквания на основните потребители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3529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насоките относно идентифициране на основните потребители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35290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техните информационни нужди и техните очаквания, за целите на прилагане на преценки във връзка с нивото на същественост при изготвяне на финансови отчети по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352904" w:rsidP="00197E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използва „основни потребители”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съответствие с дефиницията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в рамките на цялото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52904" w:rsidP="00197E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подчертае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, че </w:t>
                                    </w:r>
                                    <w:r w:rsidR="00D5319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понятието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„основни потребители” на финансовия отчет по МСФО на предприятието включва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потенциални инвеститори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потенциални заемодатели и потенциални други кредитори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52904" w:rsidP="00197E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преразгледа препратките към „специфични нужди” на основните потребители и „подмножества” или „класове” основни потребители в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52904" w:rsidP="00197E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използва термина „очаквания” на основните потребители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използван понастоящем в параграф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17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22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проекта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единствено по същия начин, по който е използван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52904" w:rsidP="00197EB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преработи насоките, предоставени във връзка с „потребители на финансовия отчет и техните решения”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за да представи концепцията за „посрещане на максималния обем от общи информационни нужди на основните потребители на финансовия отчет на предприятието”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8810C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Процедура във връзка с нивото на същественост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обсъди процедура във връзка с нивото на същественост в четири стъпки при прилагане на преценките </w:t>
                                    </w:r>
                                    <w:r w:rsidR="006406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 определяне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нивото на същественост </w:t>
                                    </w:r>
                                    <w:r w:rsidR="006406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финансовия отчет на предприятието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включи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общ преглед на начина, по който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преценките във връзка с нивото на същественост могат да бъдат прилагани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518E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По-специално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B858E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640624" w:rsidP="00197E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поясни,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макар да няма йерархично подреждане сред факторите за нивото на същественост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 предприятията може да е от полза първо да оценят дадена информация от количествена гледна точка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B65BF2" w:rsidRPr="00B65BF2" w:rsidRDefault="00640624" w:rsidP="00197E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поясни, че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когато предприятието оценява дали дадена информация е съществена на базата на качествен фактор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то следва също така да вземе под внимание и количествени фактори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640624" w:rsidP="00197EB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включи сделките и операциите със свързани лица като пример за качествен фактор, вземан под внимание при оценяване на нивото на същественост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8810C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BE03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Основни финансови отчети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E03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сравнение с пояснителните приложения и агрегиране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/</w:t>
                                    </w:r>
                                    <w:r w:rsidR="00BE035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дезагрегиране на информация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E035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насоките относно прилагането на нивото на същественост по отношение на основните финансови отчети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E035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сравнение с пояснителните приложения и ролята на преценките във връзка с нивото на същественост при определяне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E035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как информацията ще бъде агрегирана или дезагрегирана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E035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следва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BE0353" w:rsidP="00197E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посочва, че по отношение на цялата информация, включена във финансовия отчет, следва да се прилага една и съща оценка на нивото на същественост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B65BF2" w:rsidRPr="00B65BF2" w:rsidRDefault="00BE0353" w:rsidP="00197E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пояснява, че предприятието следва да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избере къде да оповести съществената информация в рамките на финансовия отчет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т.е. в основните финансови отчети или в пояснителните приложения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начин, който комуникира информацията ефективно и ефикасно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BE0353" w:rsidP="00197EB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описва как предприятието следва да използва оценката на нивото на същественост, за да реши до каква степен да дезагрегира информацията и каква степен на детайлизиране да включи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контекста на основните финансови отчети и пояснителните приложения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220ED6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8810C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220ED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Оповестяване на счетоводните политики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20ED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реши,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20ED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 следва да включва насоки относно прилагането на нивото на същественост по отношение на оповестяването на счетоводните политики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220ED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тъй като тези въпроси ще бъдат разгледани по-широко в проекта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„Принципи на оповестяването”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F65DC3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8810C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Ж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20011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Сравнителен спрямо съответстващ подход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65DC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противоречие с местни нормативни разпоредби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65DC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обсъди прилагането на нивото на същественост по отношение на информацията относно предходен период или периоди, представени във финансовия отчет 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 w:rsidR="0020011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включително разглеждане на сравнителния подход спрямо съответстващия подход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65DC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поиска от екипа да изготви допълнителен анализ, който да представи на следващо заседание на Съвета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0011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също така и потенциални противоречия между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20011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 евентуални местни законови или регулаторни изисквания във връзка с оповестяванията и нивото на същественост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0011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следва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20011A" w:rsidP="00197EB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подчертава,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целта му е да предостави насоки относно това как да се тълкува и прилага концепцията в МСФО за ниво на същественост спрямо финансови отчети по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Всичките дванадесет членове на Съвета изразиха </w:t>
                                    </w:r>
                                    <w:proofErr w:type="spellStart"/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съгласие</w:t>
                                    </w:r>
                                    <w:proofErr w:type="spellEnd"/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с </w:t>
                                    </w:r>
                                    <w:proofErr w:type="spellStart"/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това</w:t>
                                    </w:r>
                                    <w:proofErr w:type="spellEnd"/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решение</w:t>
                                    </w:r>
                                    <w:proofErr w:type="spellEnd"/>
                                    <w:r w:rsidR="00D5319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20011A" w:rsidP="00197EB9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отбелязва, че стандартите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 забраняват предоставянето на допълнителна информация с цел удовлетворяване на местни регулаторни изисквания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дори тази информация да не е съществена за стандартите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освен ако тази информация 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прикрива или замъглява съществена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информация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256715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8810C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2567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Междинно отчитане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5671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прилагането на нивото на същественост по отношение на междинните финансови отчети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256715" w:rsidP="00197EB9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подчертае, че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при прилагане на оценката относно нивото на същественост спрямо междинен финансов отчет, предприятието трябва да разгледа и вземе под внимание същите фактори, които разглежда и взема под внимание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>при оценяването във връзка с годишния финансов отчет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B65BF2" w:rsidRPr="00B65BF2" w:rsidRDefault="00256715" w:rsidP="00197EB9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посочи,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предприятието трябва да прилага процедура във връзка с нивото на същественост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описана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вземайки под внимание, че контекстът и целите на междинния финансов отчет са различни от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тези на годишния финансов отчет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256715" w:rsidP="00197EB9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посочи, че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макар междинните оценки да разчитат в по-голяма степен на приблизителното оценяване в сравнение с годишните финансови отчети, този факт сам по себе си не прави междинната информация по-съществена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3429BC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11</w:t>
                                    </w:r>
                                    <w:r w:rsidR="008810C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: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Публично достъпна информация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наличието на публично достъпна информация върху оценяването на нивото на същественост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3429BC" w:rsidP="00197EB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премахне формулировката, използвана понастоящем в параграфи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57–58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проекта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Изложението за практика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B65BF2" w:rsidRPr="00B65BF2" w:rsidRDefault="003429BC" w:rsidP="00197EB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посочи, че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публичната достъпност на информацията не оказва влияние върху оценяването на нивото на същественост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3429BC" w:rsidP="00197EB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посочи, че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публичната достъпност на информацията не освобождава предприятието от задължението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оповестява съществената информация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Единадесет от дванадесетте членове на Съвета изразиха съгласие с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тези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3429BC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Очаква се на следващо заседание Съветът да потвърди вида, който следва да имат насоките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прилагането на нивото на същественост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обсъди взаимоотношението между нивото на същественост и грижливото стопанисване на ресурсите и да изясни въпроси, свързани с терминологията, при подготовката на проекта на окончателните насоки.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обсъди също така и въпроси, свързани с прилагането на насоките относно нивото на същественост по отношение на грешки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договорни юридически задължения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предприятията, прилагащи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за МСП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както и допълнително ще анализира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прилагането на нивото на същественост</w:t>
                                    </w:r>
                                    <w:r w:rsidR="003429BC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3429B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 информация за предходни периоди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197EB9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10)</w:t>
                                    </w:r>
                                  </w:p>
                                  <w:p w:rsidR="00B65BF2" w:rsidRPr="00B65BF2" w:rsidRDefault="006271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18 октомври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г. Съветът обсъди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Концептуална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частност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Съветът обсъди концепциите </w:t>
                                    </w:r>
                                    <w:proofErr w:type="gramStart"/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подлежащи на изпълнение договори</w:t>
                                    </w:r>
                                    <w:r w:rsidR="00D5319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счетоводно отчитаната единица и дефиницията за ниво на същественост, предложени в Проекта за обсъждане от май 2015 година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Концептуалната рамка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за финансово отчитане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Проектът за обсъждане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). 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също асиметричното третиране на печалби и загуби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екипът представи подход за тестване на предложените дефиниции за активи и пасиви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F76E86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F76E86" w:rsidRP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тестване на предложените дефиниции за активи и пасиви</w:t>
                                    </w:r>
                                    <w:r w:rsidR="00F76E86" w:rsidRP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—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възникващи въпроси</w:t>
                                    </w:r>
                                  </w:p>
                                  <w:p w:rsidR="00B65BF2" w:rsidRPr="00F76E86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F76E86" w:rsidRP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тестване на предложените дефиниции за активи и пасиви</w:t>
                                    </w:r>
                                    <w:r w:rsidR="00F76E86" w:rsidRP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—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илюстративни примери</w:t>
                                    </w:r>
                                  </w:p>
                                  <w:p w:rsidR="00B65BF2" w:rsidRPr="00B65BF2" w:rsidRDefault="00F76E8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Екипът представи пред Съвета подход за тестване на предложените дефиниции за активи и пасиви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на концепциите, подкрепящи тези дефиниции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Съвета бе поискано да идентифицира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въпроси, възникващи във връзка с тестването, които биха могли да изискват допълнително обсъждане като част от предстоящите повторни разисквания на дефиницията за пасив и подкрепящите я концепции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F76E8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това заседание на Съвета не бяха взети никакви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Г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Подлежащи на изпълнение договори</w:t>
                                    </w:r>
                                  </w:p>
                                  <w:p w:rsidR="00B65BF2" w:rsidRPr="00B65BF2" w:rsidRDefault="00F76E8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светлината на коментарите, получени във връзка с предложените концепции за подлежащи на изпълнение договори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B858E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F76E86" w:rsidP="00197EB9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потвърди,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F76E86" w:rsidP="00197EB9">
                                    <w:pPr>
                                      <w:numPr>
                                        <w:ilvl w:val="1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подлежащ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изпълнение договор установява право и задължение да се </w:t>
                                    </w:r>
                                    <w:r w:rsidR="00D5319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разменят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икономически ресурси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B65BF2" w:rsidRPr="00B65BF2" w:rsidRDefault="00F76E86" w:rsidP="00197EB9">
                                    <w:pPr>
                                      <w:numPr>
                                        <w:ilvl w:val="1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правото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 задължението да се </w:t>
                                    </w:r>
                                    <w:r w:rsidR="00D5319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разменят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икономически ресурси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са взаимозависими и не могат да бъдат отделени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B645F0" w:rsidP="00197EB9">
                                    <w:pPr>
                                      <w:numPr>
                                        <w:ilvl w:val="1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комбинираното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право и задължение представлява един-единствен актив или пасив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lastRenderedPageBreak/>
                                      <w:t>Концептуалната рамка</w:t>
                                    </w:r>
                                    <w:r w:rsidR="008A5A1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A5A1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не следва да съдържа допълнителни коментари относно признаването </w:t>
                                    </w:r>
                                    <w:r w:rsidR="00D5319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</w:t>
                                    </w:r>
                                    <w:r w:rsidR="008A5A1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активи и пасиви във връзка с подлежащи на изпълнение договори, извън тези, включени в Проекта за обсъждане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8A5A13" w:rsidP="00197EB9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никой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 коментарите относно подлежащите на изпълнение договори, включени в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Основанието за заключения по Проекта за обсъждане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няма да бъде пренесен в самата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Концептуална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392E1C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392E1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Счетоводно отчитана единица</w:t>
                                    </w:r>
                                  </w:p>
                                  <w:p w:rsidR="00B65BF2" w:rsidRPr="00B65BF2" w:rsidRDefault="00392E1C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светлината на коментарите, получени във връзка с предложените концепции за счетоводно отчитаната единица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B858E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392E1C" w:rsidP="00197EB9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не предоставя допълнителни насоки относно счетоводно отчитаната единица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и да не ограничава коментарите на предложените концепции в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92E1C" w:rsidP="00197EB9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поясни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Концептуалната рамка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счетоводно отчитаната единица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се избира за актив или пасив, когато се преценява как ще се прилага признаването и оценяването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92E1C" w:rsidP="00197EB9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потвърди,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понякога може да е подходяща да се избере една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счетоводно отчитана единица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 признаването и друга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счетоводно отчитана единица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 оценяването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92E1C" w:rsidP="00197EB9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потвърди, че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избраната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счетоводно отчитана единица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може да трябва да бъде агрегирана или дезагрегирана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 представянето и оповестяването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392E1C" w:rsidP="00197EB9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поясни,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както и при всички останали области на финансовото отчитане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разходите ограничават избора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счетоводно отчитана единица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вместо да се идентифицира</w:t>
                                    </w:r>
                                    <w:r w:rsidR="00FF00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ограничението от гледна точка на разходите като обособен фактор при избора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счетоводно отчитана единица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Ж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Асиметрично третиране на печалби и загуби</w:t>
                                    </w:r>
                                  </w:p>
                                  <w:p w:rsidR="00B65BF2" w:rsidRPr="00776F7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хипотеза, 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„Глава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2—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Качествени характеристики на полезната финансова информация” на преработената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Концептуална рамка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следва да признава, че упражняването на предпазливост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не навежда на мисълта за необходимост от асиметрично третиране 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—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например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необходимост от по-убедителни доказателства, които да подкрепят признаването на активи, отколкото на пасиви или в подкрепа на признаването на приходи в сравнение с разходи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Независимо от това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такава асиметрия може да възникне понякога в стандартите за финансово отчитане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като следствие от изискването за най-полезна информация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776F7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E96DFB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10</w:t>
                                    </w:r>
                                    <w:r w:rsidR="00F76E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З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E96DF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Ниво на същественост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E96D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потвърди в порядък на работна хипотеза дефиницията за ниво на същественост, предложена в Проекта за обсъждане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E96DF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Тази дефиниция няма да бъде актуализирана с оглед измененията, обсъждани в рамките на проекта „Принципи на оповестяването”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E96DFB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По време на заседанието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Съвета през ноември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proofErr w:type="gramEnd"/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ще обсъди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концепциите, свързани 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E96DFB" w:rsidP="00197EB9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дефиницията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пасив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B65BF2" w:rsidRPr="00B65BF2" w:rsidRDefault="00E96DFB" w:rsidP="00197EB9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отписване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E96DFB" w:rsidP="00197EB9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поддържане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капитала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обсъди също така 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5272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резултатите от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5272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проведения от екипа тест за проверка със съставителите на ефекта от преработената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52721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F75C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Освен това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ще обсъди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Проекта за обсъждане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Актуализиране на препратките към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Концептуалната рамка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197EB9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3" w:name="5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Пояснения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  <w:lang w:val="bg-BG"/>
                                      </w:rPr>
                                      <w:t>Оперативни сегменти,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произтичащи от Прегледа след въвеждане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bookmarkEnd w:id="3"/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27)</w:t>
                                    </w:r>
                                  </w:p>
                                  <w:p w:rsidR="00B65BF2" w:rsidRPr="00B65BF2" w:rsidRDefault="00BC3AB1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lastRenderedPageBreak/>
                                      <w:t>През май 2015 година Съветът обсъди предложение за изменения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12</w:t>
                                    </w:r>
                                    <w:r w:rsidR="007A24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). </w:t>
                                    </w:r>
                                    <w:r w:rsidR="007A24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Предложените изменения идват в отговор на въпроси, идентифицирани като нуждаещи се от допълнително проучване в Доклада и изложението на получените като обратна информация становища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Преглед след въвеждане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8 </w:t>
                                    </w:r>
                                    <w:r w:rsidR="001735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Оперативни сегменти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C81C4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публикуван от Съвета през юли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2013</w:t>
                                    </w:r>
                                    <w:r w:rsidR="00C81C4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0824D9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заседанието си през октомври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година Съветът обсъди следните два въпроса, нуждаещи се от уточняване, които възникнаха по време на процеса по изготвяне на проекта на предложените изменения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0824D9" w:rsidP="00197EB9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последователно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идентифициране на сегментите на отчитане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0824D9" w:rsidP="00197EB9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брой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отчитаните позиции на отделни редове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0824D9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0824D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Последователно идентифициране на сегментите на отчитане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F5AE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измени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</w:t>
                                    </w:r>
                                    <w:r w:rsidR="009F5AE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така че да изисква предприятието да обяснява как и защо сегментите на отчитане във финансовия отчет се различават от тези, включени в коментара на ръководството или други части на годишния доклад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F5AE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или от други комуникации, публикувани заедно с финансовия отчет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9F5AE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Целта на това обяснение е да помогне на потребителите на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финансовия отчет да разберат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взаимовръзката между различните бази за сегментиране във финансовия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отчет и коментара на ръководството или в други части от годишния доклад на предприятието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0824D9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0824D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Брой на отчитаните позиции на отделни редове</w:t>
                                    </w:r>
                                  </w:p>
                                  <w:p w:rsidR="00B65BF2" w:rsidRPr="009F5AE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9F5AE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9F5AE2" w:rsidP="00197EB9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включи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напомняне, че предприятието може да оповестява информация по сегменти, извън тази, която е обект на преглед или редовно се предоставя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лицето, вземащо основните оперативни решения,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ако тази информация помага на предприятието да удовлетвори основния принцип в параграфи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стандарта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;</w:t>
                                    </w:r>
                                  </w:p>
                                  <w:p w:rsidR="00B65BF2" w:rsidRPr="00B65BF2" w:rsidRDefault="009F5AE2" w:rsidP="00197EB9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тази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допълнителна информация по сегменти може да включва информация, която не се предоставя регулярно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лицето, вземащо основните оперативни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9F5AE2" w:rsidP="00197EB9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запази само сегашните насоки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 вида информация по сегменти, която би била от полза за удовлетворяване на този основен принцип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71017C" w:rsidRDefault="0071017C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Следващ етап</w:t>
                                    </w:r>
                                  </w:p>
                                  <w:p w:rsidR="00B65BF2" w:rsidRPr="009F5AE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F5AE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очаква да публикува Проекта за обсъждане във връзка с измененията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9F5AE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8.</w:t>
                                    </w:r>
                                  </w:p>
                                  <w:p w:rsidR="00B65BF2" w:rsidRPr="009843C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71017C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4" w:name="6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18"/>
                                        <w:lang w:val="bg-BG"/>
                                      </w:rPr>
                                      <w:t>Обществено допитване във връзка с Програмата 2015 г.</w:t>
                                    </w:r>
                                    <w:bookmarkEnd w:id="4"/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24)</w:t>
                                    </w:r>
                                  </w:p>
                                  <w:p w:rsidR="00B65BF2" w:rsidRPr="00B65BF2" w:rsidRDefault="00B01C2B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Разрешение за публикуване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Pr="00B01C2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Изложението на получените като обратна информация становища</w:t>
                                    </w:r>
                                    <w:r w:rsidRPr="00B01C2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по повод </w:t>
                                    </w:r>
                                    <w:r w:rsidRPr="00B01C2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Общественото допитване във връзка с програмата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 2015 г.</w:t>
                                    </w:r>
                                  </w:p>
                                  <w:p w:rsidR="00B65BF2" w:rsidRPr="00B01C2B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01C2B" w:rsidRPr="00B01C2B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 xml:space="preserve">Общественото допитване във връзка с програмата </w:t>
                                    </w:r>
                                    <w:r w:rsidR="00B01C2B" w:rsidRPr="00B01C2B">
                                      <w:rPr>
                                        <w:rFonts w:ascii="Arial" w:eastAsia="Times New Roman" w:hAnsi="Arial" w:cs="Arial"/>
                                        <w:bCs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2015 г</w:t>
                                    </w:r>
                                    <w:r w:rsid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  <w:r w:rsidR="00B01C2B" w:rsidRP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даде разрешение на екипа да публикува</w:t>
                                    </w:r>
                                    <w:r w:rsidR="00B65BF2" w:rsidRP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01C2B" w:rsidRP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Изложението на получените като обратна информация становища</w:t>
                                    </w:r>
                                    <w:r w:rsidR="00B65BF2" w:rsidRP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173564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Следващ етап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очаква да публикува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Изложението на получените като обратна информация становища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през ноември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2016</w:t>
                                    </w:r>
                                    <w:r w:rsidR="00B01C2B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71017C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bookmarkStart w:id="5" w:name="7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Въпроси, свързани с прилагането на МСФО</w:t>
                                    </w:r>
                                    <w:bookmarkEnd w:id="5"/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12)</w:t>
                                    </w:r>
                                  </w:p>
                                  <w:p w:rsidR="00B65BF2" w:rsidRPr="00B65BF2" w:rsidRDefault="006271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19 октомври 2016 г.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следните проекти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51A4F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Актуална информация от КРМСФО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12)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бе запознат с актуална информация от проведеното през септември 2016 година заседание на Комитета по разясненията на 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„Комитетът по разясненията”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).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Подробности за това заседание са публикувани в Бюлетина с актуална информация на КРМСФО,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="00B51A4F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4"/>
                                          <w:u w:val="single"/>
                                          <w:lang w:val="bg-BG"/>
                                        </w:rPr>
                                        <w:t>достъпен тук</w:t>
                                      </w:r>
                                    </w:hyperlink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12A: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Ратифициране на Разяснение на КРМСФО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lastRenderedPageBreak/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ратифицира Разяснение на КРМСФО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Сделки в чуждестранна валута и авансово възнаграждение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„Разяснението”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).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Разяснението адресира въпроса как да се определи обменния</w:t>
                                    </w:r>
                                    <w:r w:rsidR="00F30A5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валутен курс, който да бъде използван при първоначално признаване на съответния </w:t>
                                    </w:r>
                                    <w:proofErr w:type="gramStart"/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актив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разход или приход при отписване на непаричен актив</w:t>
                                    </w:r>
                                    <w:proofErr w:type="gramEnd"/>
                                    <w:r w:rsidR="00B51A4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или непаричен пасив, произтичащ от авансово възнаграждение в чуждестранна валута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F75C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с тази ратификация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DB59B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очаква да издаде Разяснението преди края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2016</w:t>
                                    </w:r>
                                    <w:r w:rsidR="00DB59B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12</w:t>
                                    </w:r>
                                    <w:r w:rsidR="00DB59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28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3E46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Инвестиции в асоциирани и съвместни предприятия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—</w:t>
                                    </w:r>
                                    <w:r w:rsidR="003E465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дългосрочни участия в асоциирано или съвместно предприятие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продължи обсъжданията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дългосрочните участия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асоциирано или съвместно предприятие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Дългосрочните </w:t>
                                    </w:r>
                                    <w:proofErr w:type="gramStart"/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участия са такива участия</w:t>
                                    </w:r>
                                    <w:proofErr w:type="gramEnd"/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които по същество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съставляват част от нетната инвестиция в асоциираното или съвместно предприятие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но по отношение на които не се прилага методът на собствения капитал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9843C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предложи изменения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28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 за да поясни, че предприятието прилага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9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допълнение към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28,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 отношение на дългосрочните участия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реши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също така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 порядък на работна хипотеза</w:t>
                                    </w:r>
                                    <w:r w:rsidR="009843C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включи предложените изменения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следващия цикъл годишни подобрения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(2015–2017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9843C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).</w:t>
                                    </w:r>
                                  </w:p>
                                  <w:p w:rsidR="00B65BF2" w:rsidRPr="00B65BF2" w:rsidRDefault="00F75C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от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дванадесетте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членове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9843C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допълнение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134CC7" w:rsidP="00197EB9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изисква ретроспективно прилагане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предложените изменения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Ако предприятието обаче не преизчислява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сравнителната информация при първоначално прилагане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</w:t>
                                    </w:r>
                                    <w:r w:rsidR="0076398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9, </w:t>
                                    </w:r>
                                    <w:r w:rsidR="0076398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него не се изисква да преизчислява сравнителната</w:t>
                                    </w:r>
                                    <w:proofErr w:type="gramEnd"/>
                                    <w:r w:rsidR="0076398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информация, когато прилага предложените изменения за първи път, но може да избере да постъпи по този начин, за да отрази прилагането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39 </w:t>
                                    </w:r>
                                    <w:r w:rsidR="0076398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сравнителния период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6A622D" w:rsidP="00197EB9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изисква ретроспективно прилагане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предложените изменения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 застрахователни дружества, избиращи да прилагат временното освобождаване от изискванията на М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9,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но да разреши на тези предприятия да не преизчисляват сравнителната информация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6A622D" w:rsidP="00197EB9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позволи на предприятията, прилагащи за първи път стандартите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чиито първи отчетен период по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започва преди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януари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г. и които не преизчисляват сравнителната информация, за да отразят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техния първи финансов отчет по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изберат да не преизчисляват сравнителната информация, за да отразят предложените изменения в сравнителния период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тези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реши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също така </w:t>
                                    </w:r>
                                    <w:r w:rsidR="00F75CC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 порядък на работна хипотеза</w:t>
                                    </w:r>
                                    <w:r w:rsidR="00F75CC6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предложи дата на влизане в сила 1 януари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2018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г. с разрешено по-ранно прилагане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F75C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ще разгледа периода за предоставяне на коментари и стъпките от регламентираната процедура, предприети във връзка с предложените изменения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28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бъдещо свое заседание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12</w:t>
                                    </w:r>
                                    <w:r w:rsidR="00DB59B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Изменение с тесен обхват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—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 16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Имоти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 xml:space="preserve">,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машини и съоръжения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4"/>
                                      </w:rPr>
                                      <w:t>—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Постъпления и разходи при тестване на имоти, машини и съоръжения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направените от Комитета по разясненията препоръки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за изменение с тесен обхват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16. </w:t>
                                    </w:r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Въпросът се отнася до постъпления от продажбата на изделия, произведени докато </w:t>
                                    </w:r>
                                    <w:proofErr w:type="gramStart"/>
                                    <w:r w:rsidR="006A622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обект от имоти, машини и съоръжения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 w:rsidR="004051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ИМС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) </w:t>
                                    </w:r>
                                    <w:r w:rsidR="004051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се привежда в местоположението и състоянието, необходими, за да може той да функционира по начина, предвиден от ръководството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(</w:t>
                                    </w:r>
                                    <w:r w:rsidR="004051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т.е. докато обект</w:t>
                                    </w:r>
                                    <w:proofErr w:type="gramEnd"/>
                                    <w:r w:rsidR="0040512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от ИМС се привежда във вид, готов за използване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65D4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предложи изменения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16. </w:t>
                                    </w:r>
                                    <w:r w:rsidR="00965D4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Измененията ще забранят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965D4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приспадането от себестойността на обект от ИМС на постъпленията от продажбата на изделия, произведени докато този обект от ИМС се привежда във вид, готов за използване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 допълнение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реши в порядък на работна хипотеза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A15C4E" w:rsidP="00197EB9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изисква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предприятието да прилага предложените изменения само по отношение на обекти от ИМС, които са приведени във вид готов за използване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началото на най-ранния сравнителен период, когато измененията се прилагат за първи път; и</w:t>
                                    </w:r>
                                  </w:p>
                                  <w:p w:rsidR="00B65BF2" w:rsidRPr="00B65BF2" w:rsidRDefault="00A15C4E" w:rsidP="00197EB9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не предоставя облекчения при преминаване за предприятията, прилагащи стандартите за първи път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F75C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Единадесет от дванадесетте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DD1581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ще разгледа периода за предоставяне на коментари и стъпките от регламентираната процедура, предприети във връзка с предложените изменения с тесен обхват в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,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на бъдещо свое заседание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lastRenderedPageBreak/>
                                      <w:br/>
                                    </w:r>
                                  </w:p>
                                  <w:p w:rsidR="00B65BF2" w:rsidRPr="00B65BF2" w:rsidRDefault="0071017C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Финансови инструменти с характеристики на собствен капитал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5)</w:t>
                                    </w:r>
                                  </w:p>
                                  <w:p w:rsidR="00B65BF2" w:rsidRPr="00B65BF2" w:rsidRDefault="006271C6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На 19 октомври 2016 г.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изследователския проект относно финансовите инструменти с характеристики на собствен капитал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претенции/вземания, които предоставят на издателя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правото да избере между резултатите от алтернативни уреждания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Дискусията продължава да се фокусира върху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разработване на подхода „Гама”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спрямо класифицирането и представянето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бе запознат и с обобщена информация относно проведените до момента обсъждания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5A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 предоставен единствено с информационна цел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).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B65BF2" w:rsidRPr="00CA581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5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Б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Алтернативни резултати от уреждането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под контрола на предприятието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претенции/вземания, които предоставят на издателя</w:t>
                                    </w:r>
                                    <w:r w:rsidR="00CA581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правото да избере между два алтернативни начина на уреждане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Всеки от резултатите от уреждането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взет сам по себе си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отговаря или на </w:t>
                                    </w:r>
                                    <w:proofErr w:type="gramStart"/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дефиницията за пасив, или на дефиницията</w:t>
                                    </w:r>
                                    <w:proofErr w:type="gramEnd"/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за собствен капитал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По-специално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Съветът разгледа въпроса дали икономическите стимули, които биха могли да повлияят върху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решението на предприятието да упражни правото си, следва да бъдат вземани под внимание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 класифицирането на тези претенции/вземания като пасив или като собствен капитал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Съветът реши в порядък на работна хипотеза,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че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съгласно подхода „Гама”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икономическите стимули, които биха могли да повлияят върху</w:t>
                                    </w:r>
                                    <w:r w:rsidR="00CA581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решението на издателя да упражни правата си не следва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да бъдат вземани под внимание</w:t>
                                    </w:r>
                                    <w:r w:rsidR="00CA581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 класифицирането на дадена претенция/вземане като пасив или като собствен капитал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Така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съгласно подхода „Гама”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CA58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класифицирането ще се базира върху </w:t>
                                    </w:r>
                                    <w:r w:rsidR="00FE539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материалните права и задължения, установени с </w:t>
                                    </w:r>
                                    <w:proofErr w:type="gramStart"/>
                                    <w:r w:rsidR="00FE539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договора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FE539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включително задълженията, които са установени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FE539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косвено чрез условията на договора</w:t>
                                    </w:r>
                                    <w:proofErr w:type="gramEnd"/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FE539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което е сходно с изискванията в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МСС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32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представяне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Всичките дванадесет членове на Съвета изразиха съгласие с това решение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173564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На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бъдещо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свое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заседание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Съветът ще обсъди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:</w:t>
                                    </w:r>
                                  </w:p>
                                  <w:p w:rsidR="00B65BF2" w:rsidRPr="00B65BF2" w:rsidRDefault="00F52422" w:rsidP="00197EB9">
                                    <w:pPr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класифициране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инструменти, отговарящи на условията на съществуващото изключение по отношение на инструментите с право на връщане;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  <w:p w:rsidR="00B65BF2" w:rsidRPr="00B65BF2" w:rsidRDefault="00F52422" w:rsidP="00197EB9">
                                    <w:pPr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същността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на правата и задълженията в договорите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 взаимовръзката им със законови и регулаторни изисквания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B65BF2" w:rsidRPr="00B65BF2" w:rsidRDefault="00F52422" w:rsidP="00197EB9">
                                    <w:pPr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признаване</w:t>
                                    </w:r>
                                    <w:proofErr w:type="gramEnd"/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отписване и рекласифициране на инструменти на собствения капитал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71017C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Актуална информация във връзка с изследователската програма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E813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Документ по програмата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8)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обсъди актуална информация във връзка с изследователската си програма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Актуалната информация отразява събития и обстоятелства, настъпили след последната актуализация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която бе представена по време на заседанието на Съвета през юли 2016 г.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Информация </w:t>
                                    </w:r>
                                    <w:proofErr w:type="gramStart"/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работната програма на Съвета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по международни счетоводни стандарти (IASB)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включително изследователската му програма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, </w:t>
                                    </w:r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е на разположение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proofErr w:type="gramStart"/>
                                      <w:r w:rsidR="0071017C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4"/>
                                          <w:u w:val="single"/>
                                          <w:lang w:val="bg-BG"/>
                                        </w:rPr>
                                        <w:t>тук</w:t>
                                      </w:r>
                                      <w:proofErr w:type="gramEnd"/>
                                    </w:hyperlink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Съветът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71017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отбеляза също, че е започнало предварително оценяване на въпросите, които ще бъдат проучени в Прегледа след въвеждане на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2349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МСФО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13 </w:t>
                                    </w:r>
                                    <w:r w:rsidR="00197EB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4"/>
                                        <w:lang w:val="bg-BG"/>
                                      </w:rPr>
                                      <w:t>Оценяване по справедлива стойност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71017C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 Съвета не бе поискано да взема никакви решения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4"/>
                                        <w:szCs w:val="14"/>
                                      </w:rPr>
                                      <w:t>Следващи етапи</w:t>
                                    </w:r>
                                  </w:p>
                                  <w:p w:rsidR="00B65BF2" w:rsidRPr="00B65BF2" w:rsidRDefault="0071017C" w:rsidP="00197EB9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Екипът очаква да представи отново пред Съвета актуална информация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изследователската програма след около три месеца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B65BF2" w:rsidRPr="00B65BF2" w:rsidRDefault="00B65BF2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br/>
                                    </w:r>
                                  </w:p>
                                  <w:p w:rsidR="00B65BF2" w:rsidRPr="00B65BF2" w:rsidRDefault="00E8133D" w:rsidP="00197EB9">
                                    <w:pPr>
                                      <w:spacing w:after="240" w:line="207" w:lineRule="atLeast"/>
                                      <w:ind w:right="5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Работна програма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прогнозни цели към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>октомври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8"/>
                                        <w:szCs w:val="18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B65BF2" w:rsidRPr="00B65BF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B65BF2" w:rsidRPr="00B65BF2" w:rsidRDefault="00E8133D" w:rsidP="0004083F">
                                    <w:pPr>
                                      <w:spacing w:after="0" w:line="207" w:lineRule="atLeast"/>
                                      <w:ind w:right="5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</w:pPr>
                                    <w:r w:rsidRPr="00E8133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Работната програма, отразяваща решенията, взети на това заседание е актуализирана на уебсайта на Съвета по международни счетоводни стандарти (</w:t>
                                    </w:r>
                                    <w:r w:rsidR="00197EB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IASB</w:t>
                                    </w:r>
                                    <w:r w:rsidRPr="00E8133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) на 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20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>октомври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 xml:space="preserve">. </w:t>
                                    </w:r>
                                    <w:hyperlink r:id="rId9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4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="00B65BF2" w:rsidRPr="00B65BF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B65BF2" w:rsidRPr="00B65BF2" w:rsidRDefault="00B65BF2" w:rsidP="00197EB9">
                              <w:pPr>
                                <w:spacing w:after="240" w:line="240" w:lineRule="auto"/>
                                <w:ind w:right="50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B65BF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B65BF2" w:rsidRPr="00B65BF2" w:rsidRDefault="00B65BF2" w:rsidP="00197EB9">
                        <w:pPr>
                          <w:spacing w:after="0" w:line="240" w:lineRule="auto"/>
                          <w:ind w:right="5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65BF2" w:rsidRPr="00B65BF2" w:rsidRDefault="00B65BF2" w:rsidP="00197EB9">
                  <w:pPr>
                    <w:spacing w:after="0" w:line="240" w:lineRule="auto"/>
                    <w:ind w:right="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BF2" w:rsidRPr="00B65BF2" w:rsidTr="00197EB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  <w:vAlign w:val="center"/>
                  <w:hideMark/>
                </w:tcPr>
                <w:p w:rsidR="00B65BF2" w:rsidRPr="00B65BF2" w:rsidRDefault="00E8133D" w:rsidP="00197EB9">
                  <w:pPr>
                    <w:spacing w:after="0" w:line="240" w:lineRule="auto"/>
                    <w:ind w:right="50"/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</w:rPr>
                  </w:pPr>
                  <w:r w:rsidRPr="00E8133D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lastRenderedPageBreak/>
                    <w:t xml:space="preserve"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</w:t>
                  </w:r>
                  <w:proofErr w:type="gramStart"/>
                  <w:r w:rsidRPr="00E8133D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t>действия или се въздържа от предприемането на действия</w:t>
                  </w:r>
                  <w:proofErr w:type="gramEnd"/>
                  <w:r w:rsidRPr="00E8133D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  <w:lang w:val="bg-BG"/>
                    </w:rPr>
                    <w:t>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B65BF2" w:rsidRPr="00B65BF2">
                    <w:rPr>
                      <w:rFonts w:ascii="Arial" w:eastAsia="Times New Roman" w:hAnsi="Arial" w:cs="Arial"/>
                      <w:color w:val="5F5F60"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E8133D" w:rsidRPr="00E8133D" w:rsidRDefault="00E8133D" w:rsidP="00197EB9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E8133D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 xml:space="preserve">Copyright © </w:t>
            </w:r>
            <w:r w:rsidR="00197EB9">
              <w:rPr>
                <w:rFonts w:ascii="Arial" w:eastAsia="Times New Roman" w:hAnsi="Arial" w:cs="Arial"/>
                <w:color w:val="5F5F60"/>
                <w:sz w:val="14"/>
                <w:szCs w:val="14"/>
              </w:rPr>
              <w:t>IFRS</w:t>
            </w:r>
            <w:r w:rsidRPr="00E8133D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 xml:space="preserve"> Foundation</w:t>
            </w:r>
            <w:r w:rsidRPr="00E8133D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br/>
              <w:t>ISSN 1474-2675</w:t>
            </w:r>
          </w:p>
          <w:p w:rsidR="00E8133D" w:rsidRPr="00E8133D" w:rsidRDefault="00E8133D" w:rsidP="00197EB9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</w:pPr>
            <w:r w:rsidRPr="00E8133D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Авторски права© Фондация МСФО</w:t>
            </w:r>
          </w:p>
          <w:p w:rsidR="00B65BF2" w:rsidRPr="00B65BF2" w:rsidRDefault="00E8133D" w:rsidP="00197EB9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color w:val="5F5F60"/>
                <w:sz w:val="14"/>
                <w:szCs w:val="14"/>
              </w:rPr>
            </w:pPr>
            <w:r w:rsidRPr="00E8133D">
              <w:rPr>
                <w:rFonts w:ascii="Arial" w:eastAsia="Times New Roman" w:hAnsi="Arial" w:cs="Arial"/>
                <w:color w:val="5F5F60"/>
                <w:sz w:val="14"/>
                <w:szCs w:val="14"/>
                <w:lang w:val="bg-BG"/>
              </w:rPr>
              <w:t>ISSN 1474-2675</w:t>
            </w:r>
          </w:p>
        </w:tc>
      </w:tr>
    </w:tbl>
    <w:p w:rsidR="00B65BF2" w:rsidRPr="00B65BF2" w:rsidRDefault="007B1ADB" w:rsidP="00197EB9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7B1AD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aca899" stroked="f"/>
        </w:pict>
      </w:r>
    </w:p>
    <w:p w:rsidR="00D06B47" w:rsidRDefault="00D06B47" w:rsidP="00197EB9">
      <w:pPr>
        <w:ind w:right="50"/>
      </w:pPr>
    </w:p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20B"/>
    <w:multiLevelType w:val="multilevel"/>
    <w:tmpl w:val="452C347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E0E45"/>
    <w:multiLevelType w:val="multilevel"/>
    <w:tmpl w:val="216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79C7"/>
    <w:multiLevelType w:val="multilevel"/>
    <w:tmpl w:val="1F48951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B5B13"/>
    <w:multiLevelType w:val="multilevel"/>
    <w:tmpl w:val="FCCA7DD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04C2C"/>
    <w:multiLevelType w:val="multilevel"/>
    <w:tmpl w:val="C5D042B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12E99"/>
    <w:multiLevelType w:val="multilevel"/>
    <w:tmpl w:val="E0F2672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D267B"/>
    <w:multiLevelType w:val="multilevel"/>
    <w:tmpl w:val="FA86682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36542"/>
    <w:multiLevelType w:val="multilevel"/>
    <w:tmpl w:val="321486F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D51A4"/>
    <w:multiLevelType w:val="multilevel"/>
    <w:tmpl w:val="FC52725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A4DB5"/>
    <w:multiLevelType w:val="multilevel"/>
    <w:tmpl w:val="2BD4C3F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B57B4"/>
    <w:multiLevelType w:val="multilevel"/>
    <w:tmpl w:val="C81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D1974"/>
    <w:multiLevelType w:val="multilevel"/>
    <w:tmpl w:val="9FB69BD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E2EDD"/>
    <w:multiLevelType w:val="multilevel"/>
    <w:tmpl w:val="49BADDA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32912"/>
    <w:multiLevelType w:val="multilevel"/>
    <w:tmpl w:val="451A82F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70978"/>
    <w:multiLevelType w:val="multilevel"/>
    <w:tmpl w:val="0910FDE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81623"/>
    <w:multiLevelType w:val="multilevel"/>
    <w:tmpl w:val="178CD30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characterSpacingControl w:val="doNotCompress"/>
  <w:compat/>
  <w:rsids>
    <w:rsidRoot w:val="00B65BF2"/>
    <w:rsid w:val="0000241E"/>
    <w:rsid w:val="0004083F"/>
    <w:rsid w:val="000824D9"/>
    <w:rsid w:val="000B2228"/>
    <w:rsid w:val="00134CC7"/>
    <w:rsid w:val="001518E3"/>
    <w:rsid w:val="00173564"/>
    <w:rsid w:val="00197EB9"/>
    <w:rsid w:val="0020011A"/>
    <w:rsid w:val="00220ED6"/>
    <w:rsid w:val="002349C5"/>
    <w:rsid w:val="00256715"/>
    <w:rsid w:val="003068BC"/>
    <w:rsid w:val="003429BC"/>
    <w:rsid w:val="00352904"/>
    <w:rsid w:val="00392E1C"/>
    <w:rsid w:val="003E465C"/>
    <w:rsid w:val="00405126"/>
    <w:rsid w:val="004167CE"/>
    <w:rsid w:val="0052721E"/>
    <w:rsid w:val="005B508D"/>
    <w:rsid w:val="005E1FD1"/>
    <w:rsid w:val="006271C6"/>
    <w:rsid w:val="00640624"/>
    <w:rsid w:val="006A622D"/>
    <w:rsid w:val="006C6A12"/>
    <w:rsid w:val="0071017C"/>
    <w:rsid w:val="0076398E"/>
    <w:rsid w:val="00776F72"/>
    <w:rsid w:val="007A2491"/>
    <w:rsid w:val="007B1ADB"/>
    <w:rsid w:val="008810CF"/>
    <w:rsid w:val="008A5A13"/>
    <w:rsid w:val="009129E1"/>
    <w:rsid w:val="00965D44"/>
    <w:rsid w:val="009843C2"/>
    <w:rsid w:val="009F5AE2"/>
    <w:rsid w:val="00A0037F"/>
    <w:rsid w:val="00A15C4E"/>
    <w:rsid w:val="00B01C2B"/>
    <w:rsid w:val="00B51A4F"/>
    <w:rsid w:val="00B645F0"/>
    <w:rsid w:val="00B65BF2"/>
    <w:rsid w:val="00B858E5"/>
    <w:rsid w:val="00BB2460"/>
    <w:rsid w:val="00BC3AB1"/>
    <w:rsid w:val="00BE0353"/>
    <w:rsid w:val="00C81C4C"/>
    <w:rsid w:val="00C842BC"/>
    <w:rsid w:val="00C87E72"/>
    <w:rsid w:val="00CA5812"/>
    <w:rsid w:val="00CF3DE6"/>
    <w:rsid w:val="00D06B47"/>
    <w:rsid w:val="00D5319D"/>
    <w:rsid w:val="00DB59B9"/>
    <w:rsid w:val="00DD1581"/>
    <w:rsid w:val="00DD5A55"/>
    <w:rsid w:val="00DE0ACE"/>
    <w:rsid w:val="00E8133D"/>
    <w:rsid w:val="00E96DFB"/>
    <w:rsid w:val="00F30A5A"/>
    <w:rsid w:val="00F52422"/>
    <w:rsid w:val="00F65DC3"/>
    <w:rsid w:val="00F75CC6"/>
    <w:rsid w:val="00F76E86"/>
    <w:rsid w:val="00FE5396"/>
    <w:rsid w:val="00FF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5B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5B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B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Current-Projects/IASB-Projects/The-IASBs-Research-Programme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s3.amazonaws.com/ifrswebcontent/2016/IFRIC/September/IFRIC-Update-September-20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frs.org/Current-Projects/IASB-Projects/Pages/IASB-Work-Pl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DDA3-DCBC-4ACE-820A-8D56F633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4376</Words>
  <Characters>26426</Characters>
  <Application>Microsoft Office Word</Application>
  <DocSecurity>0</DocSecurity>
  <Lines>433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gslavchev</cp:lastModifiedBy>
  <cp:revision>15</cp:revision>
  <dcterms:created xsi:type="dcterms:W3CDTF">2016-10-25T07:48:00Z</dcterms:created>
  <dcterms:modified xsi:type="dcterms:W3CDTF">2016-10-25T15:32:00Z</dcterms:modified>
</cp:coreProperties>
</file>