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406"/>
      </w:tblGrid>
      <w:tr w:rsidR="00531329" w:rsidRPr="00531329" w:rsidTr="00531329">
        <w:trPr>
          <w:tblCellSpacing w:w="0" w:type="dxa"/>
          <w:jc w:val="center"/>
        </w:trPr>
        <w:tc>
          <w:tcPr>
            <w:tcW w:w="0" w:type="auto"/>
            <w:shd w:val="clear" w:color="auto" w:fill="F0F6F9"/>
            <w:vAlign w:val="center"/>
            <w:hideMark/>
          </w:tcPr>
          <w:tbl>
            <w:tblPr>
              <w:tblW w:w="9639" w:type="dxa"/>
              <w:jc w:val="center"/>
              <w:tblCellSpacing w:w="0" w:type="dxa"/>
              <w:shd w:val="clear" w:color="auto" w:fill="FFFFFF"/>
              <w:tblCellMar>
                <w:left w:w="0" w:type="dxa"/>
                <w:right w:w="0" w:type="dxa"/>
              </w:tblCellMar>
              <w:tblLook w:val="04A0"/>
            </w:tblPr>
            <w:tblGrid>
              <w:gridCol w:w="9639"/>
            </w:tblGrid>
            <w:tr w:rsidR="00531329" w:rsidRPr="00531329" w:rsidTr="00531329">
              <w:trPr>
                <w:tblCellSpacing w:w="0" w:type="dxa"/>
                <w:jc w:val="center"/>
              </w:trPr>
              <w:tc>
                <w:tcPr>
                  <w:tcW w:w="9639" w:type="dxa"/>
                  <w:shd w:val="clear" w:color="auto" w:fill="FFFFFF"/>
                  <w:vAlign w:val="center"/>
                  <w:hideMark/>
                </w:tcPr>
                <w:p w:rsidR="00531329" w:rsidRPr="00170663" w:rsidRDefault="00531329" w:rsidP="00531329">
                  <w:pPr>
                    <w:spacing w:after="0" w:line="240" w:lineRule="auto"/>
                    <w:ind w:right="50"/>
                    <w:rPr>
                      <w:rFonts w:ascii="Times New Roman" w:eastAsia="Times New Roman" w:hAnsi="Times New Roman" w:cs="Times New Roman"/>
                      <w:sz w:val="24"/>
                      <w:szCs w:val="24"/>
                      <w:lang w:val="bg-BG"/>
                    </w:rPr>
                  </w:pPr>
                </w:p>
              </w:tc>
            </w:tr>
            <w:tr w:rsidR="00531329" w:rsidRPr="00531329" w:rsidTr="00531329">
              <w:trPr>
                <w:tblCellSpacing w:w="0" w:type="dxa"/>
                <w:jc w:val="center"/>
              </w:trPr>
              <w:tc>
                <w:tcPr>
                  <w:tcW w:w="9639" w:type="dxa"/>
                  <w:shd w:val="clear" w:color="auto" w:fill="FFFFFF"/>
                  <w:vAlign w:val="center"/>
                  <w:hideMark/>
                </w:tcPr>
                <w:tbl>
                  <w:tblPr>
                    <w:tblW w:w="9362" w:type="dxa"/>
                    <w:tblCellSpacing w:w="0" w:type="dxa"/>
                    <w:shd w:val="clear" w:color="auto" w:fill="FFFFFF"/>
                    <w:tblCellMar>
                      <w:left w:w="0" w:type="dxa"/>
                      <w:right w:w="0" w:type="dxa"/>
                    </w:tblCellMar>
                    <w:tblLook w:val="04A0"/>
                  </w:tblPr>
                  <w:tblGrid>
                    <w:gridCol w:w="9498"/>
                    <w:gridCol w:w="6"/>
                  </w:tblGrid>
                  <w:tr w:rsidR="00196B91" w:rsidRPr="00531329" w:rsidTr="00196B91">
                    <w:trPr>
                      <w:tblCellSpacing w:w="0" w:type="dxa"/>
                    </w:trPr>
                    <w:tc>
                      <w:tcPr>
                        <w:tcW w:w="0" w:type="auto"/>
                        <w:gridSpan w:val="2"/>
                        <w:shd w:val="clear" w:color="auto" w:fill="FFFFFF"/>
                        <w:hideMark/>
                      </w:tcPr>
                      <w:p w:rsidR="00196B91" w:rsidRPr="004D016C" w:rsidRDefault="00196B91" w:rsidP="00196B91">
                        <w:pPr>
                          <w:spacing w:after="0" w:line="240" w:lineRule="auto"/>
                          <w:ind w:left="259"/>
                          <w:rPr>
                            <w:rFonts w:ascii="Times New Roman" w:eastAsia="Times New Roman" w:hAnsi="Times New Roman" w:cs="Times New Roman"/>
                            <w:color w:val="FFFFFF"/>
                            <w:sz w:val="24"/>
                            <w:szCs w:val="24"/>
                            <w:lang w:val="bg-BG"/>
                          </w:rPr>
                        </w:pPr>
                      </w:p>
                    </w:tc>
                  </w:tr>
                  <w:tr w:rsidR="00196B91" w:rsidRPr="00531329" w:rsidTr="00196B91">
                    <w:trPr>
                      <w:tblCellSpacing w:w="0" w:type="dxa"/>
                    </w:trPr>
                    <w:tc>
                      <w:tcPr>
                        <w:tcW w:w="9348" w:type="dxa"/>
                        <w:shd w:val="clear" w:color="auto" w:fill="8D8F8E"/>
                        <w:hideMark/>
                      </w:tcPr>
                      <w:tbl>
                        <w:tblPr>
                          <w:tblW w:w="9498" w:type="dxa"/>
                          <w:tblCellSpacing w:w="0" w:type="dxa"/>
                          <w:shd w:val="clear" w:color="auto" w:fill="FFFFFF"/>
                          <w:tblCellMar>
                            <w:left w:w="0" w:type="dxa"/>
                            <w:right w:w="0" w:type="dxa"/>
                          </w:tblCellMar>
                          <w:tblLook w:val="04A0"/>
                        </w:tblPr>
                        <w:tblGrid>
                          <w:gridCol w:w="7029"/>
                          <w:gridCol w:w="2469"/>
                        </w:tblGrid>
                        <w:tr w:rsidR="00196B91" w:rsidRPr="004D016C" w:rsidTr="00424D1B">
                          <w:trPr>
                            <w:tblCellSpacing w:w="0" w:type="dxa"/>
                          </w:trPr>
                          <w:tc>
                            <w:tcPr>
                              <w:tcW w:w="7054" w:type="dxa"/>
                              <w:shd w:val="clear" w:color="auto" w:fill="8D8F8E"/>
                              <w:vAlign w:val="center"/>
                            </w:tcPr>
                            <w:p w:rsidR="00196B91" w:rsidRPr="004D016C" w:rsidRDefault="00196B91" w:rsidP="00196B91">
                              <w:pPr>
                                <w:ind w:left="259" w:right="50"/>
                                <w:rPr>
                                  <w:rFonts w:ascii="Arial" w:hAnsi="Arial" w:cs="Arial"/>
                                  <w:color w:val="FFFFFF"/>
                                  <w:sz w:val="20"/>
                                  <w:szCs w:val="20"/>
                                  <w:lang w:val="bg-BG"/>
                                </w:rPr>
                              </w:pPr>
                            </w:p>
                            <w:p w:rsidR="00196B91" w:rsidRPr="004D016C" w:rsidRDefault="00196B91" w:rsidP="00196B91">
                              <w:pPr>
                                <w:ind w:left="259" w:right="50"/>
                                <w:rPr>
                                  <w:rFonts w:ascii="Arial" w:hAnsi="Arial" w:cs="Arial"/>
                                  <w:b/>
                                  <w:bCs/>
                                  <w:color w:val="FFFFFF"/>
                                  <w:sz w:val="28"/>
                                  <w:szCs w:val="28"/>
                                  <w:lang w:val="bg-BG"/>
                                </w:rPr>
                              </w:pPr>
                              <w:r w:rsidRPr="004D016C">
                                <w:rPr>
                                  <w:rFonts w:ascii="Arial" w:hAnsi="Arial" w:cs="Arial"/>
                                  <w:b/>
                                  <w:bCs/>
                                  <w:color w:val="FFFFFF"/>
                                  <w:sz w:val="28"/>
                                  <w:szCs w:val="28"/>
                                  <w:lang w:val="bg-BG"/>
                                </w:rPr>
                                <w:t>Съвет по международни счетоводни стандарти</w:t>
                              </w:r>
                            </w:p>
                            <w:p w:rsidR="00196B91" w:rsidRPr="004D016C" w:rsidRDefault="00196B91" w:rsidP="00196B91">
                              <w:pPr>
                                <w:ind w:left="259" w:right="50"/>
                                <w:rPr>
                                  <w:rFonts w:ascii="Arial" w:hAnsi="Arial" w:cs="Arial"/>
                                  <w:color w:val="FFFFFF"/>
                                  <w:sz w:val="20"/>
                                  <w:szCs w:val="20"/>
                                  <w:lang w:val="bg-BG"/>
                                </w:rPr>
                              </w:pPr>
                              <w:r w:rsidRPr="004D016C">
                                <w:rPr>
                                  <w:rFonts w:ascii="Arial" w:hAnsi="Arial" w:cs="Arial"/>
                                  <w:b/>
                                  <w:bCs/>
                                  <w:color w:val="FFFFFF"/>
                                  <w:sz w:val="20"/>
                                  <w:szCs w:val="20"/>
                                  <w:lang w:val="bg-BG"/>
                                </w:rPr>
                                <w:t>Периодичен преглед</w:t>
                              </w:r>
                            </w:p>
                          </w:tc>
                          <w:tc>
                            <w:tcPr>
                              <w:tcW w:w="2444" w:type="dxa"/>
                              <w:shd w:val="clear" w:color="auto" w:fill="FFFFFF"/>
                              <w:vAlign w:val="center"/>
                              <w:hideMark/>
                            </w:tcPr>
                            <w:p w:rsidR="00196B91" w:rsidRPr="004D016C" w:rsidRDefault="00196B91" w:rsidP="00196B91">
                              <w:pPr>
                                <w:ind w:left="259" w:right="50"/>
                                <w:rPr>
                                  <w:rFonts w:ascii="Arial" w:hAnsi="Arial" w:cs="Arial"/>
                                  <w:sz w:val="20"/>
                                  <w:szCs w:val="20"/>
                                  <w:lang w:val="bg-BG"/>
                                </w:rPr>
                              </w:pPr>
                              <w:r w:rsidRPr="004D016C">
                                <w:rPr>
                                  <w:rFonts w:ascii="Arial" w:hAnsi="Arial" w:cs="Arial"/>
                                  <w:noProof/>
                                  <w:sz w:val="20"/>
                                  <w:szCs w:val="20"/>
                                </w:rPr>
                                <w:drawing>
                                  <wp:inline distT="0" distB="0" distL="0" distR="0">
                                    <wp:extent cx="1351915" cy="246380"/>
                                    <wp:effectExtent l="19050" t="0" r="635" b="0"/>
                                    <wp:docPr id="1" name="Picture 3" descr="I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B Logo"/>
                                            <pic:cNvPicPr>
                                              <a:picLocks noChangeAspect="1" noChangeArrowheads="1"/>
                                            </pic:cNvPicPr>
                                          </pic:nvPicPr>
                                          <pic:blipFill>
                                            <a:blip r:embed="rId5" cstate="print"/>
                                            <a:srcRect/>
                                            <a:stretch>
                                              <a:fillRect/>
                                            </a:stretch>
                                          </pic:blipFill>
                                          <pic:spPr bwMode="auto">
                                            <a:xfrm>
                                              <a:off x="0" y="0"/>
                                              <a:ext cx="1351915" cy="246380"/>
                                            </a:xfrm>
                                            <a:prstGeom prst="rect">
                                              <a:avLst/>
                                            </a:prstGeom>
                                            <a:noFill/>
                                            <a:ln w="9525">
                                              <a:noFill/>
                                              <a:miter lim="800000"/>
                                              <a:headEnd/>
                                              <a:tailEnd/>
                                            </a:ln>
                                          </pic:spPr>
                                        </pic:pic>
                                      </a:graphicData>
                                    </a:graphic>
                                  </wp:inline>
                                </w:drawing>
                              </w:r>
                            </w:p>
                          </w:tc>
                        </w:tr>
                      </w:tbl>
                      <w:p w:rsidR="00196B91" w:rsidRDefault="00196B91" w:rsidP="00196B91">
                        <w:pPr>
                          <w:ind w:left="259"/>
                        </w:pPr>
                      </w:p>
                    </w:tc>
                    <w:tc>
                      <w:tcPr>
                        <w:tcW w:w="0" w:type="auto"/>
                        <w:shd w:val="clear" w:color="auto" w:fill="FFFFFF"/>
                        <w:vAlign w:val="center"/>
                        <w:hideMark/>
                      </w:tcPr>
                      <w:p w:rsidR="00196B91" w:rsidRPr="00531329" w:rsidRDefault="00196B91" w:rsidP="00196B91">
                        <w:pPr>
                          <w:spacing w:after="0" w:line="240" w:lineRule="auto"/>
                          <w:ind w:left="259" w:right="50"/>
                          <w:rPr>
                            <w:rFonts w:ascii="Times New Roman" w:eastAsia="Times New Roman" w:hAnsi="Times New Roman" w:cs="Times New Roman"/>
                            <w:sz w:val="20"/>
                            <w:szCs w:val="20"/>
                          </w:rPr>
                        </w:pPr>
                      </w:p>
                    </w:tc>
                  </w:tr>
                  <w:tr w:rsidR="00531329" w:rsidRPr="00531329" w:rsidTr="00196B91">
                    <w:trPr>
                      <w:tblCellSpacing w:w="0" w:type="dxa"/>
                    </w:trPr>
                    <w:tc>
                      <w:tcPr>
                        <w:tcW w:w="0" w:type="auto"/>
                        <w:gridSpan w:val="2"/>
                        <w:tcBorders>
                          <w:top w:val="single" w:sz="8" w:space="0" w:color="FFFFFF"/>
                        </w:tcBorders>
                        <w:shd w:val="clear" w:color="auto" w:fill="B9D4E5"/>
                        <w:tcMar>
                          <w:top w:w="20" w:type="dxa"/>
                          <w:left w:w="0" w:type="dxa"/>
                          <w:bottom w:w="20" w:type="dxa"/>
                          <w:right w:w="150" w:type="dxa"/>
                        </w:tcMar>
                        <w:vAlign w:val="center"/>
                        <w:hideMark/>
                      </w:tcPr>
                      <w:p w:rsidR="00531329" w:rsidRPr="00196B91" w:rsidRDefault="00196B91" w:rsidP="00531329">
                        <w:pPr>
                          <w:spacing w:after="0" w:line="240" w:lineRule="auto"/>
                          <w:ind w:right="50"/>
                          <w:jc w:val="right"/>
                          <w:rPr>
                            <w:rFonts w:ascii="Arial" w:eastAsia="Times New Roman" w:hAnsi="Arial" w:cs="Arial"/>
                            <w:color w:val="464646"/>
                            <w:sz w:val="12"/>
                            <w:szCs w:val="12"/>
                            <w:lang w:val="bg-BG"/>
                          </w:rPr>
                        </w:pPr>
                        <w:r>
                          <w:rPr>
                            <w:rFonts w:ascii="Arial" w:eastAsia="Times New Roman" w:hAnsi="Arial" w:cs="Arial"/>
                            <w:b/>
                            <w:bCs/>
                            <w:color w:val="464646"/>
                            <w:sz w:val="12"/>
                            <w:szCs w:val="12"/>
                            <w:lang w:val="bg-BG"/>
                          </w:rPr>
                          <w:t>Февруари</w:t>
                        </w:r>
                        <w:r w:rsidR="00531329" w:rsidRPr="00531329">
                          <w:rPr>
                            <w:rFonts w:ascii="Arial" w:eastAsia="Times New Roman" w:hAnsi="Arial" w:cs="Arial"/>
                            <w:b/>
                            <w:bCs/>
                            <w:color w:val="464646"/>
                            <w:sz w:val="12"/>
                            <w:szCs w:val="12"/>
                          </w:rPr>
                          <w:t xml:space="preserve"> 2017</w:t>
                        </w:r>
                        <w:r>
                          <w:rPr>
                            <w:rFonts w:ascii="Arial" w:eastAsia="Times New Roman" w:hAnsi="Arial" w:cs="Arial"/>
                            <w:b/>
                            <w:bCs/>
                            <w:color w:val="464646"/>
                            <w:sz w:val="12"/>
                            <w:szCs w:val="12"/>
                            <w:lang w:val="bg-BG"/>
                          </w:rPr>
                          <w:t xml:space="preserve"> г.</w:t>
                        </w:r>
                      </w:p>
                    </w:tc>
                  </w:tr>
                  <w:tr w:rsidR="00531329" w:rsidRPr="00531329" w:rsidTr="00196B91">
                    <w:trPr>
                      <w:trHeight w:val="300"/>
                      <w:tblCellSpacing w:w="0" w:type="dxa"/>
                    </w:trPr>
                    <w:tc>
                      <w:tcPr>
                        <w:tcW w:w="0" w:type="auto"/>
                        <w:gridSpan w:val="2"/>
                        <w:shd w:val="clear" w:color="auto" w:fill="FFFFFF"/>
                        <w:vAlign w:val="center"/>
                        <w:hideMark/>
                      </w:tcPr>
                      <w:p w:rsidR="00531329" w:rsidRPr="00531329" w:rsidRDefault="00531329" w:rsidP="00531329">
                        <w:pPr>
                          <w:spacing w:after="0" w:line="240" w:lineRule="auto"/>
                          <w:ind w:right="50"/>
                          <w:rPr>
                            <w:rFonts w:ascii="Times New Roman" w:eastAsia="Times New Roman" w:hAnsi="Times New Roman" w:cs="Times New Roman"/>
                            <w:sz w:val="24"/>
                            <w:szCs w:val="24"/>
                          </w:rPr>
                        </w:pPr>
                      </w:p>
                    </w:tc>
                  </w:tr>
                  <w:tr w:rsidR="00531329" w:rsidRPr="00531329" w:rsidTr="00196B91">
                    <w:trPr>
                      <w:tblCellSpacing w:w="0" w:type="dxa"/>
                    </w:trPr>
                    <w:tc>
                      <w:tcPr>
                        <w:tcW w:w="0" w:type="auto"/>
                        <w:gridSpan w:val="2"/>
                        <w:shd w:val="clear" w:color="auto" w:fill="FFFFFF"/>
                        <w:vAlign w:val="center"/>
                        <w:hideMark/>
                      </w:tcPr>
                      <w:tbl>
                        <w:tblPr>
                          <w:tblpPr w:leftFromText="45" w:rightFromText="45" w:vertAnchor="text"/>
                          <w:tblW w:w="0" w:type="auto"/>
                          <w:tblCellSpacing w:w="0" w:type="dxa"/>
                          <w:tblCellMar>
                            <w:left w:w="100" w:type="dxa"/>
                            <w:right w:w="0" w:type="dxa"/>
                          </w:tblCellMar>
                          <w:tblLook w:val="04A0"/>
                        </w:tblPr>
                        <w:tblGrid>
                          <w:gridCol w:w="9362"/>
                        </w:tblGrid>
                        <w:tr w:rsidR="00531329" w:rsidRPr="00531329">
                          <w:trPr>
                            <w:tblCellSpacing w:w="0" w:type="dxa"/>
                          </w:trPr>
                          <w:tc>
                            <w:tcPr>
                              <w:tcW w:w="9000" w:type="dxa"/>
                              <w:vAlign w:val="center"/>
                              <w:hideMark/>
                            </w:tcPr>
                            <w:tbl>
                              <w:tblPr>
                                <w:tblW w:w="9262" w:type="dxa"/>
                                <w:tblCellSpacing w:w="0" w:type="dxa"/>
                                <w:tblCellMar>
                                  <w:left w:w="0" w:type="dxa"/>
                                  <w:right w:w="0" w:type="dxa"/>
                                </w:tblCellMar>
                                <w:tblLook w:val="04A0"/>
                              </w:tblPr>
                              <w:tblGrid>
                                <w:gridCol w:w="9256"/>
                                <w:gridCol w:w="6"/>
                              </w:tblGrid>
                              <w:tr w:rsidR="00531329" w:rsidRPr="00531329" w:rsidTr="00531329">
                                <w:trPr>
                                  <w:tblCellSpacing w:w="0" w:type="dxa"/>
                                </w:trPr>
                                <w:tc>
                                  <w:tcPr>
                                    <w:tcW w:w="4997" w:type="pct"/>
                                    <w:tcBorders>
                                      <w:bottom w:val="single" w:sz="2" w:space="0" w:color="C2C2C4"/>
                                    </w:tcBorders>
                                    <w:hideMark/>
                                  </w:tcPr>
                                  <w:p w:rsidR="00531329" w:rsidRPr="00531329" w:rsidRDefault="00196B91" w:rsidP="003631F2">
                                    <w:pPr>
                                      <w:spacing w:after="0" w:line="180" w:lineRule="atLeast"/>
                                      <w:ind w:left="197" w:right="50"/>
                                      <w:rPr>
                                        <w:rFonts w:ascii="Times New Roman" w:eastAsia="Times New Roman" w:hAnsi="Times New Roman" w:cs="Times New Roman"/>
                                        <w:sz w:val="24"/>
                                        <w:szCs w:val="24"/>
                                      </w:rPr>
                                    </w:pPr>
                                    <w:r w:rsidRPr="00196B91">
                                      <w:rPr>
                                        <w:rFonts w:ascii="Arial" w:eastAsia="Times New Roman" w:hAnsi="Arial" w:cs="Arial"/>
                                        <w:color w:val="5F5F60"/>
                                        <w:sz w:val="12"/>
                                        <w:szCs w:val="12"/>
                                        <w:lang w:val="bg-BG"/>
                                      </w:rPr>
                                      <w:t xml:space="preserve">Настоящият бюлетин на Съвета по международни счетоводни стандарти (IASB) (”Съветът”) представя предварителните решения на Съвета. Окончателните решения на Съвета относно стандарти, изменения и разяснения се подлагат на официално гласуване, съгласно предвиденото в </w:t>
                                    </w:r>
                                    <w:r w:rsidRPr="00196B91">
                                      <w:rPr>
                                        <w:rFonts w:ascii="Arial" w:eastAsia="Times New Roman" w:hAnsi="Arial" w:cs="Arial"/>
                                        <w:i/>
                                        <w:color w:val="5F5F60"/>
                                        <w:sz w:val="12"/>
                                        <w:szCs w:val="12"/>
                                        <w:lang w:val="bg-BG"/>
                                      </w:rPr>
                                      <w:t>Ръководството по регламентираната процедура</w:t>
                                    </w:r>
                                    <w:r w:rsidRPr="00196B91">
                                      <w:rPr>
                                        <w:rFonts w:ascii="Arial" w:eastAsia="Times New Roman" w:hAnsi="Arial" w:cs="Arial"/>
                                        <w:color w:val="5F5F60"/>
                                        <w:sz w:val="12"/>
                                        <w:szCs w:val="12"/>
                                        <w:lang w:val="bg-BG"/>
                                      </w:rPr>
                                      <w:t xml:space="preserve"> на Фондация МСФО (МСФО</w:t>
                                    </w:r>
                                    <w:r w:rsidRPr="00196B91">
                                      <w:rPr>
                                        <w:rFonts w:ascii="Arial" w:eastAsia="Times New Roman" w:hAnsi="Arial" w:cs="Arial"/>
                                        <w:color w:val="5F5F60"/>
                                        <w:sz w:val="12"/>
                                        <w:szCs w:val="12"/>
                                        <w:vertAlign w:val="superscript"/>
                                        <w:lang w:val="bg-BG"/>
                                      </w:rPr>
                                      <w:t>®</w:t>
                                    </w:r>
                                    <w:r w:rsidRPr="00196B91">
                                      <w:rPr>
                                        <w:rFonts w:ascii="Arial" w:eastAsia="Times New Roman" w:hAnsi="Arial" w:cs="Arial"/>
                                        <w:color w:val="5F5F60"/>
                                        <w:sz w:val="12"/>
                                        <w:szCs w:val="12"/>
                                        <w:lang w:val="bg-BG"/>
                                      </w:rPr>
                                      <w:t xml:space="preserve"> Foundation) и Комитета по разясненията на МСФО</w:t>
                                    </w:r>
                                    <w:r w:rsidR="00531329" w:rsidRPr="00531329">
                                      <w:rPr>
                                        <w:rFonts w:ascii="Arial" w:eastAsia="Times New Roman" w:hAnsi="Arial" w:cs="Arial"/>
                                        <w:color w:val="5F5F60"/>
                                        <w:sz w:val="12"/>
                                        <w:szCs w:val="12"/>
                                      </w:rPr>
                                      <w:t>.</w:t>
                                    </w:r>
                                    <w:r w:rsidR="00531329" w:rsidRPr="00531329">
                                      <w:rPr>
                                        <w:rFonts w:ascii="Arial" w:eastAsia="Times New Roman" w:hAnsi="Arial" w:cs="Arial"/>
                                        <w:color w:val="5F5F60"/>
                                        <w:sz w:val="12"/>
                                        <w:szCs w:val="12"/>
                                      </w:rPr>
                                      <w:br/>
                                    </w:r>
                                    <w:r w:rsidR="00531329" w:rsidRPr="00531329">
                                      <w:rPr>
                                        <w:rFonts w:ascii="Arial" w:eastAsia="Times New Roman" w:hAnsi="Arial" w:cs="Arial"/>
                                        <w:color w:val="5F5F60"/>
                                        <w:sz w:val="12"/>
                                        <w:szCs w:val="12"/>
                                      </w:rPr>
                                      <w:br/>
                                    </w:r>
                                    <w:r>
                                      <w:rPr>
                                        <w:rFonts w:ascii="Arial" w:eastAsia="Times New Roman" w:hAnsi="Arial" w:cs="Arial"/>
                                        <w:color w:val="5F5F60"/>
                                        <w:sz w:val="12"/>
                                        <w:szCs w:val="12"/>
                                        <w:lang w:val="bg-BG"/>
                                      </w:rPr>
                                      <w:t xml:space="preserve">На 22 февруари 2017 г., сряда, и 23 февруари 2017 г., четвъртък, </w:t>
                                    </w:r>
                                    <w:r w:rsidRPr="00196B91">
                                      <w:rPr>
                                        <w:rFonts w:ascii="Arial" w:eastAsia="Times New Roman" w:hAnsi="Arial" w:cs="Arial"/>
                                        <w:color w:val="5F5F60"/>
                                        <w:sz w:val="12"/>
                                        <w:szCs w:val="12"/>
                                        <w:lang w:val="bg-BG"/>
                                      </w:rPr>
                                      <w:t>Съветът проведе публични заседания в офисите на Фондац</w:t>
                                    </w:r>
                                    <w:bookmarkStart w:id="0" w:name="_GoBack"/>
                                    <w:bookmarkEnd w:id="0"/>
                                    <w:r w:rsidRPr="00196B91">
                                      <w:rPr>
                                        <w:rFonts w:ascii="Arial" w:eastAsia="Times New Roman" w:hAnsi="Arial" w:cs="Arial"/>
                                        <w:color w:val="5F5F60"/>
                                        <w:sz w:val="12"/>
                                        <w:szCs w:val="12"/>
                                        <w:lang w:val="bg-BG"/>
                                      </w:rPr>
                                      <w:t>ия МСФО в Лондон, Великобритания</w:t>
                                    </w:r>
                                    <w:r w:rsidR="00531329" w:rsidRPr="00531329">
                                      <w:rPr>
                                        <w:rFonts w:ascii="Arial" w:eastAsia="Times New Roman" w:hAnsi="Arial" w:cs="Arial"/>
                                        <w:color w:val="5F5F60"/>
                                        <w:sz w:val="12"/>
                                        <w:szCs w:val="12"/>
                                      </w:rPr>
                                      <w:t>.</w:t>
                                    </w:r>
                                    <w:r w:rsidR="00531329" w:rsidRPr="00531329">
                                      <w:rPr>
                                        <w:rFonts w:ascii="Arial" w:eastAsia="Times New Roman" w:hAnsi="Arial" w:cs="Arial"/>
                                        <w:color w:val="5F5F60"/>
                                        <w:sz w:val="12"/>
                                        <w:szCs w:val="12"/>
                                      </w:rPr>
                                      <w:br/>
                                    </w:r>
                                    <w:r w:rsidR="00531329" w:rsidRPr="00531329">
                                      <w:rPr>
                                        <w:rFonts w:ascii="Arial" w:eastAsia="Times New Roman" w:hAnsi="Arial" w:cs="Arial"/>
                                        <w:color w:val="5F5F60"/>
                                        <w:sz w:val="12"/>
                                        <w:szCs w:val="12"/>
                                      </w:rPr>
                                      <w:br/>
                                    </w:r>
                                    <w:r>
                                      <w:rPr>
                                        <w:rFonts w:ascii="Arial" w:eastAsia="Times New Roman" w:hAnsi="Arial" w:cs="Arial"/>
                                        <w:color w:val="5F5F60"/>
                                        <w:sz w:val="12"/>
                                        <w:szCs w:val="12"/>
                                        <w:lang w:val="bg-BG"/>
                                      </w:rPr>
                                      <w:t>Обсъжданите теми включваха</w:t>
                                    </w:r>
                                    <w:r w:rsidR="00531329" w:rsidRPr="00531329">
                                      <w:rPr>
                                        <w:rFonts w:ascii="Arial" w:eastAsia="Times New Roman" w:hAnsi="Arial" w:cs="Arial"/>
                                        <w:color w:val="5F5F60"/>
                                        <w:sz w:val="12"/>
                                        <w:szCs w:val="12"/>
                                      </w:rPr>
                                      <w:t>:</w:t>
                                    </w:r>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1" w:history="1">
                                      <w:r w:rsidR="00E54E3B">
                                        <w:rPr>
                                          <w:rFonts w:ascii="Arial" w:eastAsia="Times New Roman" w:hAnsi="Arial" w:cs="Arial"/>
                                          <w:b/>
                                          <w:bCs/>
                                          <w:color w:val="40688E"/>
                                          <w:sz w:val="12"/>
                                          <w:lang w:val="bg-BG"/>
                                        </w:rPr>
                                        <w:t>Застрахователни договори</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2" w:history="1">
                                      <w:r w:rsidR="00E54E3B">
                                        <w:rPr>
                                          <w:rFonts w:ascii="Arial" w:eastAsia="Times New Roman" w:hAnsi="Arial" w:cs="Arial"/>
                                          <w:b/>
                                          <w:bCs/>
                                          <w:color w:val="40688E"/>
                                          <w:sz w:val="12"/>
                                          <w:lang w:val="bg-BG"/>
                                        </w:rPr>
                                        <w:t>Финансови инструменти с характеристики на собствен капитал</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3" w:history="1">
                                      <w:r w:rsidR="00E54E3B">
                                        <w:rPr>
                                          <w:rFonts w:ascii="Arial" w:eastAsia="Times New Roman" w:hAnsi="Arial" w:cs="Arial"/>
                                          <w:b/>
                                          <w:bCs/>
                                          <w:color w:val="40688E"/>
                                          <w:sz w:val="12"/>
                                          <w:lang w:val="bg-BG"/>
                                        </w:rPr>
                                        <w:t>Симетрични опции за предсрочно погасяване</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4" w:history="1">
                                      <w:r w:rsidR="00E54E3B">
                                        <w:rPr>
                                          <w:rFonts w:ascii="Arial" w:eastAsia="Times New Roman" w:hAnsi="Arial" w:cs="Arial"/>
                                          <w:b/>
                                          <w:bCs/>
                                          <w:color w:val="40688E"/>
                                          <w:sz w:val="12"/>
                                          <w:lang w:val="bg-BG"/>
                                        </w:rPr>
                                        <w:t>Преглед след въвеждане на</w:t>
                                      </w:r>
                                      <w:r w:rsidR="00531329" w:rsidRPr="00531329">
                                        <w:rPr>
                                          <w:rFonts w:ascii="Arial" w:eastAsia="Times New Roman" w:hAnsi="Arial" w:cs="Arial"/>
                                          <w:b/>
                                          <w:bCs/>
                                          <w:color w:val="40688E"/>
                                          <w:sz w:val="12"/>
                                        </w:rPr>
                                        <w:t xml:space="preserve"> </w:t>
                                      </w:r>
                                      <w:r w:rsidR="001051B0">
                                        <w:rPr>
                                          <w:rFonts w:ascii="Arial" w:eastAsia="Times New Roman" w:hAnsi="Arial" w:cs="Arial"/>
                                          <w:b/>
                                          <w:bCs/>
                                          <w:color w:val="40688E"/>
                                          <w:sz w:val="12"/>
                                        </w:rPr>
                                        <w:t>МСФО</w:t>
                                      </w:r>
                                      <w:r w:rsidR="00531329" w:rsidRPr="00531329">
                                        <w:rPr>
                                          <w:rFonts w:ascii="Arial" w:eastAsia="Times New Roman" w:hAnsi="Arial" w:cs="Arial"/>
                                          <w:b/>
                                          <w:bCs/>
                                          <w:color w:val="40688E"/>
                                          <w:sz w:val="12"/>
                                        </w:rPr>
                                        <w:t xml:space="preserve"> 13 </w:t>
                                      </w:r>
                                      <w:r w:rsidR="00E54E3B">
                                        <w:rPr>
                                          <w:rFonts w:ascii="Arial" w:eastAsia="Times New Roman" w:hAnsi="Arial" w:cs="Arial"/>
                                          <w:b/>
                                          <w:bCs/>
                                          <w:i/>
                                          <w:iCs/>
                                          <w:color w:val="40688E"/>
                                          <w:sz w:val="12"/>
                                          <w:lang w:val="bg-BG"/>
                                        </w:rPr>
                                        <w:t>Оценяване по справедлива стойност</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5" w:history="1">
                                      <w:r w:rsidR="00E54E3B">
                                        <w:rPr>
                                          <w:rFonts w:ascii="Arial" w:eastAsia="Times New Roman" w:hAnsi="Arial" w:cs="Arial"/>
                                          <w:b/>
                                          <w:bCs/>
                                          <w:color w:val="40688E"/>
                                          <w:sz w:val="12"/>
                                          <w:lang w:val="bg-BG"/>
                                        </w:rPr>
                                        <w:t>Дефиниция на бизнес</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6" w:history="1">
                                      <w:r w:rsidR="00E54E3B">
                                        <w:rPr>
                                          <w:rFonts w:ascii="Arial" w:eastAsia="Times New Roman" w:hAnsi="Arial" w:cs="Arial"/>
                                          <w:b/>
                                          <w:bCs/>
                                          <w:color w:val="40688E"/>
                                          <w:sz w:val="12"/>
                                          <w:lang w:val="bg-BG"/>
                                        </w:rPr>
                                        <w:t>Изследователска програма</w:t>
                                      </w:r>
                                    </w:hyperlink>
                                  </w:p>
                                  <w:p w:rsidR="00531329" w:rsidRPr="00E54E3B" w:rsidRDefault="0014557B" w:rsidP="00531329">
                                    <w:pPr>
                                      <w:numPr>
                                        <w:ilvl w:val="0"/>
                                        <w:numId w:val="1"/>
                                      </w:numPr>
                                      <w:spacing w:before="100" w:beforeAutospacing="1" w:after="100" w:afterAutospacing="1" w:line="180" w:lineRule="atLeast"/>
                                      <w:ind w:right="50"/>
                                      <w:rPr>
                                        <w:rFonts w:ascii="Arial" w:eastAsia="Times New Roman" w:hAnsi="Arial" w:cs="Arial"/>
                                        <w:b/>
                                        <w:bCs/>
                                        <w:color w:val="40688E"/>
                                        <w:sz w:val="12"/>
                                        <w:lang w:val="bg-BG"/>
                                      </w:rPr>
                                    </w:pPr>
                                    <w:hyperlink w:anchor="7" w:history="1">
                                      <w:r w:rsidR="00E54E3B">
                                        <w:rPr>
                                          <w:rFonts w:ascii="Arial" w:eastAsia="Times New Roman" w:hAnsi="Arial" w:cs="Arial"/>
                                          <w:b/>
                                          <w:bCs/>
                                          <w:color w:val="40688E"/>
                                          <w:sz w:val="12"/>
                                          <w:lang w:val="bg-BG"/>
                                        </w:rPr>
                                        <w:t>Дейности</w:t>
                                      </w:r>
                                    </w:hyperlink>
                                    <w:r w:rsidR="00E54E3B" w:rsidRPr="00E54E3B">
                                      <w:rPr>
                                        <w:rFonts w:ascii="Arial" w:eastAsia="Times New Roman" w:hAnsi="Arial" w:cs="Arial"/>
                                        <w:b/>
                                        <w:bCs/>
                                        <w:color w:val="40688E"/>
                                        <w:sz w:val="12"/>
                                        <w:lang w:val="bg-BG"/>
                                      </w:rPr>
                                      <w:t xml:space="preserve"> с регулирани цени</w:t>
                                    </w:r>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8" w:history="1">
                                      <w:r w:rsidR="00E54E3B">
                                        <w:rPr>
                                          <w:rFonts w:ascii="Arial" w:eastAsia="Times New Roman" w:hAnsi="Arial" w:cs="Arial"/>
                                          <w:b/>
                                          <w:bCs/>
                                          <w:i/>
                                          <w:iCs/>
                                          <w:color w:val="40688E"/>
                                          <w:sz w:val="12"/>
                                          <w:lang w:val="bg-BG"/>
                                        </w:rPr>
                                        <w:t>Концептуална рамка за финансово отчитане</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9" w:history="1">
                                      <w:r w:rsidR="00E54E3B">
                                        <w:rPr>
                                          <w:rFonts w:ascii="Arial" w:eastAsia="Times New Roman" w:hAnsi="Arial" w:cs="Arial"/>
                                          <w:b/>
                                          <w:bCs/>
                                          <w:color w:val="40688E"/>
                                          <w:sz w:val="12"/>
                                          <w:lang w:val="bg-BG"/>
                                        </w:rPr>
                                        <w:t>Модификации и размяна на финансови пасиви</w:t>
                                      </w:r>
                                    </w:hyperlink>
                                  </w:p>
                                  <w:p w:rsidR="00531329" w:rsidRPr="00531329" w:rsidRDefault="0014557B" w:rsidP="00531329">
                                    <w:pPr>
                                      <w:numPr>
                                        <w:ilvl w:val="0"/>
                                        <w:numId w:val="1"/>
                                      </w:numPr>
                                      <w:spacing w:before="100" w:beforeAutospacing="1" w:after="100" w:afterAutospacing="1" w:line="180" w:lineRule="atLeast"/>
                                      <w:ind w:right="50"/>
                                      <w:rPr>
                                        <w:rFonts w:ascii="Arial" w:eastAsia="Times New Roman" w:hAnsi="Arial" w:cs="Arial"/>
                                        <w:color w:val="40688E"/>
                                        <w:sz w:val="12"/>
                                        <w:szCs w:val="12"/>
                                      </w:rPr>
                                    </w:pPr>
                                    <w:hyperlink w:anchor="10" w:history="1">
                                      <w:r w:rsidR="00E54E3B">
                                        <w:rPr>
                                          <w:rFonts w:ascii="Arial" w:eastAsia="Times New Roman" w:hAnsi="Arial" w:cs="Arial"/>
                                          <w:b/>
                                          <w:bCs/>
                                          <w:color w:val="40688E"/>
                                          <w:sz w:val="12"/>
                                          <w:lang w:val="bg-BG"/>
                                        </w:rPr>
                                        <w:t>Въпроси, свързани с прилагането на МСФО</w:t>
                                      </w:r>
                                      <w:r w:rsidR="00531329" w:rsidRPr="00531329">
                                        <w:rPr>
                                          <w:rFonts w:ascii="Arial" w:eastAsia="Times New Roman" w:hAnsi="Arial" w:cs="Arial"/>
                                          <w:b/>
                                          <w:bCs/>
                                          <w:color w:val="40688E"/>
                                          <w:sz w:val="12"/>
                                        </w:rPr>
                                        <w:t>—</w:t>
                                      </w:r>
                                      <w:r w:rsidR="001051B0">
                                        <w:rPr>
                                          <w:rFonts w:ascii="Arial" w:eastAsia="Times New Roman" w:hAnsi="Arial" w:cs="Arial"/>
                                          <w:b/>
                                          <w:bCs/>
                                          <w:color w:val="40688E"/>
                                          <w:sz w:val="12"/>
                                        </w:rPr>
                                        <w:t>МСФО</w:t>
                                      </w:r>
                                      <w:r w:rsidR="00531329" w:rsidRPr="00531329">
                                        <w:rPr>
                                          <w:rFonts w:ascii="Arial" w:eastAsia="Times New Roman" w:hAnsi="Arial" w:cs="Arial"/>
                                          <w:b/>
                                          <w:bCs/>
                                          <w:color w:val="40688E"/>
                                          <w:sz w:val="12"/>
                                        </w:rPr>
                                        <w:t xml:space="preserve"> 9 </w:t>
                                      </w:r>
                                      <w:r w:rsidR="00E54E3B">
                                        <w:rPr>
                                          <w:rFonts w:ascii="Arial" w:eastAsia="Times New Roman" w:hAnsi="Arial" w:cs="Arial"/>
                                          <w:b/>
                                          <w:bCs/>
                                          <w:color w:val="40688E"/>
                                          <w:sz w:val="12"/>
                                          <w:lang w:val="bg-BG"/>
                                        </w:rPr>
                                        <w:t>Обезценка</w:t>
                                      </w:r>
                                    </w:hyperlink>
                                  </w:p>
                                  <w:p w:rsidR="00531329" w:rsidRPr="00531329" w:rsidRDefault="00531329" w:rsidP="00531329">
                                    <w:pPr>
                                      <w:spacing w:after="0" w:line="180" w:lineRule="atLeast"/>
                                      <w:ind w:right="50"/>
                                      <w:rPr>
                                        <w:rFonts w:ascii="Times New Roman" w:eastAsia="Times New Roman" w:hAnsi="Times New Roman" w:cs="Times New Roman"/>
                                        <w:sz w:val="24"/>
                                        <w:szCs w:val="24"/>
                                      </w:rPr>
                                    </w:pPr>
                                  </w:p>
                                </w:tc>
                                <w:tc>
                                  <w:tcPr>
                                    <w:tcW w:w="3" w:type="pct"/>
                                    <w:hideMark/>
                                  </w:tcPr>
                                  <w:p w:rsidR="00531329" w:rsidRPr="00531329" w:rsidRDefault="00531329" w:rsidP="00531329">
                                    <w:pPr>
                                      <w:spacing w:after="0" w:line="240" w:lineRule="auto"/>
                                      <w:ind w:right="50"/>
                                      <w:jc w:val="right"/>
                                      <w:rPr>
                                        <w:rFonts w:ascii="Times New Roman" w:eastAsia="Times New Roman" w:hAnsi="Times New Roman" w:cs="Times New Roman"/>
                                        <w:sz w:val="24"/>
                                        <w:szCs w:val="24"/>
                                      </w:rPr>
                                    </w:pPr>
                                  </w:p>
                                </w:tc>
                              </w:tr>
                              <w:tr w:rsidR="00531329" w:rsidRPr="00531329" w:rsidTr="00531329">
                                <w:trPr>
                                  <w:gridAfter w:val="1"/>
                                  <w:wAfter w:w="3" w:type="pct"/>
                                  <w:tblCellSpacing w:w="0" w:type="dxa"/>
                                </w:trPr>
                                <w:tc>
                                  <w:tcPr>
                                    <w:tcW w:w="4997" w:type="pct"/>
                                    <w:tcMar>
                                      <w:top w:w="250" w:type="dxa"/>
                                      <w:left w:w="300" w:type="dxa"/>
                                      <w:bottom w:w="0" w:type="dxa"/>
                                      <w:right w:w="100" w:type="dxa"/>
                                    </w:tcMar>
                                    <w:vAlign w:val="center"/>
                                    <w:hideMark/>
                                  </w:tcPr>
                                  <w:p w:rsidR="00531329" w:rsidRPr="00531329" w:rsidRDefault="00E54E3B" w:rsidP="00531329">
                                    <w:pPr>
                                      <w:spacing w:after="240" w:line="180" w:lineRule="atLeast"/>
                                      <w:ind w:right="50"/>
                                      <w:rPr>
                                        <w:rFonts w:ascii="Arial" w:eastAsia="Times New Roman" w:hAnsi="Arial" w:cs="Arial"/>
                                        <w:color w:val="5F5F60"/>
                                        <w:sz w:val="12"/>
                                        <w:szCs w:val="12"/>
                                      </w:rPr>
                                    </w:pPr>
                                    <w:r>
                                      <w:rPr>
                                        <w:rFonts w:ascii="Arial" w:eastAsia="Times New Roman" w:hAnsi="Arial" w:cs="Arial"/>
                                        <w:b/>
                                        <w:bCs/>
                                        <w:color w:val="40688E"/>
                                        <w:sz w:val="16"/>
                                        <w:szCs w:val="16"/>
                                        <w:lang w:val="bg-BG"/>
                                      </w:rPr>
                                      <w:t>Застрахователни договори</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2)</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9A095A">
                                      <w:rPr>
                                        <w:rFonts w:ascii="Arial" w:eastAsia="Times New Roman" w:hAnsi="Arial" w:cs="Arial"/>
                                        <w:color w:val="5F5F60"/>
                                        <w:sz w:val="12"/>
                                        <w:szCs w:val="12"/>
                                        <w:lang w:val="bg-BG"/>
                                      </w:rPr>
                                      <w:t xml:space="preserve">обсъди констатациите </w:t>
                                    </w:r>
                                    <w:r w:rsidR="00170663">
                                      <w:rPr>
                                        <w:rFonts w:ascii="Arial" w:eastAsia="Times New Roman" w:hAnsi="Arial" w:cs="Arial"/>
                                        <w:color w:val="5F5F60"/>
                                        <w:sz w:val="12"/>
                                        <w:szCs w:val="12"/>
                                        <w:lang w:val="bg-BG"/>
                                      </w:rPr>
                                      <w:t>от</w:t>
                                    </w:r>
                                    <w:r w:rsidR="009A095A">
                                      <w:rPr>
                                        <w:rFonts w:ascii="Arial" w:eastAsia="Times New Roman" w:hAnsi="Arial" w:cs="Arial"/>
                                        <w:color w:val="5F5F60"/>
                                        <w:sz w:val="12"/>
                                        <w:szCs w:val="12"/>
                                        <w:lang w:val="bg-BG"/>
                                      </w:rPr>
                                      <w:t xml:space="preserve"> неотдавна извършения външен редакционен преглед на проект на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17 </w:t>
                                    </w:r>
                                    <w:r w:rsidR="001C70B9">
                                      <w:rPr>
                                        <w:rFonts w:ascii="Arial" w:eastAsia="Times New Roman" w:hAnsi="Arial" w:cs="Arial"/>
                                        <w:i/>
                                        <w:iCs/>
                                        <w:color w:val="5F5F60"/>
                                        <w:sz w:val="12"/>
                                        <w:lang w:val="bg-BG"/>
                                      </w:rPr>
                                      <w:t>Застрахователни договори</w:t>
                                    </w:r>
                                    <w:r w:rsidR="00531329" w:rsidRPr="00531329">
                                      <w:rPr>
                                        <w:rFonts w:ascii="Arial" w:eastAsia="Times New Roman" w:hAnsi="Arial" w:cs="Arial"/>
                                        <w:i/>
                                        <w:iCs/>
                                        <w:color w:val="5F5F60"/>
                                        <w:sz w:val="12"/>
                                      </w:rPr>
                                      <w:t xml:space="preserve"> </w:t>
                                    </w:r>
                                    <w:r w:rsidR="001C70B9">
                                      <w:rPr>
                                        <w:rFonts w:ascii="Arial" w:eastAsia="Times New Roman" w:hAnsi="Arial" w:cs="Arial"/>
                                        <w:color w:val="5F5F60"/>
                                        <w:sz w:val="12"/>
                                        <w:szCs w:val="12"/>
                                        <w:lang w:val="bg-BG"/>
                                      </w:rPr>
                                      <w:t>и въпроси, нуждаещи се от уточняване</w:t>
                                    </w:r>
                                    <w:r w:rsidR="00531329" w:rsidRPr="00531329">
                                      <w:rPr>
                                        <w:rFonts w:ascii="Arial" w:eastAsia="Times New Roman" w:hAnsi="Arial" w:cs="Arial"/>
                                        <w:color w:val="5F5F60"/>
                                        <w:sz w:val="12"/>
                                        <w:szCs w:val="12"/>
                                      </w:rPr>
                                      <w:t>.</w:t>
                                    </w:r>
                                  </w:p>
                                  <w:p w:rsidR="00531329" w:rsidRPr="00531329" w:rsidRDefault="009A095A"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Промени в маржа на договорената услуга</w:t>
                                    </w:r>
                                    <w:r w:rsidR="00531329" w:rsidRPr="00531329">
                                      <w:rPr>
                                        <w:rFonts w:ascii="Arial" w:eastAsia="Times New Roman" w:hAnsi="Arial" w:cs="Arial"/>
                                        <w:b/>
                                        <w:bCs/>
                                        <w:color w:val="5F5F60"/>
                                        <w:sz w:val="12"/>
                                      </w:rPr>
                                      <w:t xml:space="preserve"> (</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2A)</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531329" w:rsidRPr="00531329">
                                      <w:rPr>
                                        <w:rFonts w:ascii="Arial" w:eastAsia="Times New Roman" w:hAnsi="Arial" w:cs="Arial"/>
                                        <w:color w:val="5F5F60"/>
                                        <w:sz w:val="12"/>
                                        <w:szCs w:val="12"/>
                                      </w:rPr>
                                      <w:t>:</w:t>
                                    </w:r>
                                  </w:p>
                                  <w:p w:rsidR="00531329" w:rsidRPr="00531329" w:rsidRDefault="009A095A" w:rsidP="00531329">
                                    <w:pPr>
                                      <w:numPr>
                                        <w:ilvl w:val="0"/>
                                        <w:numId w:val="2"/>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i/>
                                        <w:iCs/>
                                        <w:color w:val="5F5F60"/>
                                        <w:sz w:val="12"/>
                                        <w:lang w:val="bg-BG"/>
                                      </w:rPr>
                                      <w:t>по отношение на договори, оценявани съгласно общия модел</w:t>
                                    </w:r>
                                    <w:r w:rsidR="00531329" w:rsidRPr="00531329">
                                      <w:rPr>
                                        <w:rFonts w:ascii="Arial" w:eastAsia="Times New Roman" w:hAnsi="Arial" w:cs="Arial"/>
                                        <w:color w:val="5F5F60"/>
                                        <w:sz w:val="12"/>
                                        <w:szCs w:val="12"/>
                                      </w:rPr>
                                      <w:t>—</w:t>
                                    </w:r>
                                    <w:r>
                                      <w:rPr>
                                        <w:rFonts w:ascii="Arial" w:eastAsia="Times New Roman" w:hAnsi="Arial" w:cs="Arial"/>
                                        <w:color w:val="5F5F60"/>
                                        <w:sz w:val="12"/>
                                        <w:szCs w:val="12"/>
                                        <w:lang w:val="bg-BG"/>
                                      </w:rPr>
                                      <w:t>всички промени в приблизителните оценки на настоящата стойност на бъдещите парични потоци, произтичащи от нефинансови рискове, да се коригират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за сметка на маржа на договорената услуга</w:t>
                                    </w:r>
                                    <w:r w:rsidR="00531329" w:rsidRPr="00531329">
                                      <w:rPr>
                                        <w:rFonts w:ascii="Arial" w:eastAsia="Times New Roman" w:hAnsi="Arial" w:cs="Arial"/>
                                        <w:color w:val="5F5F60"/>
                                        <w:sz w:val="12"/>
                                        <w:szCs w:val="12"/>
                                      </w:rPr>
                                      <w:t>.</w:t>
                                    </w:r>
                                  </w:p>
                                  <w:p w:rsidR="00531329" w:rsidRPr="00531329" w:rsidRDefault="009A095A" w:rsidP="00531329">
                                    <w:pPr>
                                      <w:numPr>
                                        <w:ilvl w:val="0"/>
                                        <w:numId w:val="2"/>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i/>
                                        <w:iCs/>
                                        <w:color w:val="5F5F60"/>
                                        <w:sz w:val="12"/>
                                        <w:lang w:val="bg-BG"/>
                                      </w:rPr>
                                      <w:t>по отношение на договори, оценявани съгласно подхода на променливото възнаграждение</w:t>
                                    </w:r>
                                    <w:r w:rsidR="00531329" w:rsidRPr="00531329">
                                      <w:rPr>
                                        <w:rFonts w:ascii="Arial" w:eastAsia="Times New Roman" w:hAnsi="Arial" w:cs="Arial"/>
                                        <w:color w:val="5F5F60"/>
                                        <w:sz w:val="12"/>
                                        <w:szCs w:val="12"/>
                                      </w:rPr>
                                      <w:t>—</w:t>
                                    </w:r>
                                    <w:r>
                                      <w:rPr>
                                        <w:rFonts w:ascii="Arial" w:eastAsia="Times New Roman" w:hAnsi="Arial" w:cs="Arial"/>
                                        <w:color w:val="5F5F60"/>
                                        <w:sz w:val="12"/>
                                        <w:szCs w:val="12"/>
                                        <w:lang w:val="bg-BG"/>
                                      </w:rPr>
                                      <w:t xml:space="preserve"> всички промени в приблизителните оценки на настоящата стойност на бъдещите парични потоци, които не са свързани със стоящите в основата позиции и които произтичат от нефинансови рискове, да се коригират</w:t>
                                    </w:r>
                                    <w:r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за сметка на маржа на договорената услуга</w:t>
                                    </w:r>
                                    <w:r w:rsidR="00531329" w:rsidRPr="00531329">
                                      <w:rPr>
                                        <w:rFonts w:ascii="Arial" w:eastAsia="Times New Roman" w:hAnsi="Arial" w:cs="Arial"/>
                                        <w:color w:val="5F5F60"/>
                                        <w:sz w:val="12"/>
                                        <w:szCs w:val="12"/>
                                      </w:rPr>
                                      <w:t>.</w:t>
                                    </w:r>
                                  </w:p>
                                  <w:p w:rsidR="00531329" w:rsidRPr="00531329" w:rsidRDefault="00A42F3D" w:rsidP="00531329">
                                    <w:pPr>
                                      <w:numPr>
                                        <w:ilvl w:val="0"/>
                                        <w:numId w:val="2"/>
                                      </w:numPr>
                                      <w:spacing w:before="100" w:beforeAutospacing="1" w:after="100" w:afterAutospacing="1" w:line="180" w:lineRule="atLeast"/>
                                      <w:ind w:right="50"/>
                                      <w:rPr>
                                        <w:rFonts w:ascii="Arial" w:eastAsia="Times New Roman" w:hAnsi="Arial" w:cs="Arial"/>
                                        <w:color w:val="5F5F60"/>
                                        <w:sz w:val="12"/>
                                        <w:szCs w:val="12"/>
                                      </w:rPr>
                                    </w:pPr>
                                    <w:proofErr w:type="gramStart"/>
                                    <w:r>
                                      <w:rPr>
                                        <w:rFonts w:ascii="Arial" w:eastAsia="Times New Roman" w:hAnsi="Arial" w:cs="Arial"/>
                                        <w:color w:val="5F5F60"/>
                                        <w:sz w:val="12"/>
                                        <w:szCs w:val="12"/>
                                        <w:lang w:val="bg-BG"/>
                                      </w:rPr>
                                      <w:t>че</w:t>
                                    </w:r>
                                    <w:proofErr w:type="gramEnd"/>
                                    <w:r>
                                      <w:rPr>
                                        <w:rFonts w:ascii="Arial" w:eastAsia="Times New Roman" w:hAnsi="Arial" w:cs="Arial"/>
                                        <w:color w:val="5F5F60"/>
                                        <w:sz w:val="12"/>
                                        <w:szCs w:val="12"/>
                                        <w:lang w:val="bg-BG"/>
                                      </w:rPr>
                                      <w:t xml:space="preserve"> промените</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в приблизителните оценки, коригирани за сметка на маржа на договорената услуга</w:t>
                                    </w:r>
                                    <w:r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включват промените, пряко предизвикани от корекции</w:t>
                                    </w:r>
                                    <w:r w:rsidR="00170663">
                                      <w:rPr>
                                        <w:rFonts w:ascii="Arial" w:eastAsia="Times New Roman" w:hAnsi="Arial" w:cs="Arial"/>
                                        <w:color w:val="5F5F60"/>
                                        <w:sz w:val="12"/>
                                        <w:szCs w:val="12"/>
                                        <w:lang w:val="bg-BG"/>
                                      </w:rPr>
                                      <w:t>, произтичащи от</w:t>
                                    </w:r>
                                    <w:r>
                                      <w:rPr>
                                        <w:rFonts w:ascii="Arial" w:eastAsia="Times New Roman" w:hAnsi="Arial" w:cs="Arial"/>
                                        <w:color w:val="5F5F60"/>
                                        <w:sz w:val="12"/>
                                        <w:szCs w:val="12"/>
                                        <w:lang w:val="bg-BG"/>
                                      </w:rPr>
                                      <w:t xml:space="preserve"> опита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Съществуват две изключения</w:t>
                                    </w:r>
                                    <w:r w:rsidR="00531329" w:rsidRPr="00531329">
                                      <w:rPr>
                                        <w:rFonts w:ascii="Arial" w:eastAsia="Times New Roman" w:hAnsi="Arial" w:cs="Arial"/>
                                        <w:color w:val="5F5F60"/>
                                        <w:sz w:val="12"/>
                                        <w:szCs w:val="12"/>
                                      </w:rPr>
                                      <w:t xml:space="preserve">: (i) </w:t>
                                    </w:r>
                                    <w:r>
                                      <w:rPr>
                                        <w:rFonts w:ascii="Arial" w:eastAsia="Times New Roman" w:hAnsi="Arial" w:cs="Arial"/>
                                        <w:color w:val="5F5F60"/>
                                        <w:sz w:val="12"/>
                                        <w:szCs w:val="12"/>
                                        <w:lang w:val="bg-BG"/>
                                      </w:rPr>
                                      <w:t>когато промяната се отнася до предявени искове</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r w:rsidR="00531329" w:rsidRPr="00531329">
                                      <w:rPr>
                                        <w:rFonts w:ascii="Arial" w:eastAsia="Times New Roman" w:hAnsi="Arial" w:cs="Arial"/>
                                        <w:color w:val="5F5F60"/>
                                        <w:sz w:val="12"/>
                                        <w:szCs w:val="12"/>
                                      </w:rPr>
                                      <w:t xml:space="preserve"> (ii) </w:t>
                                    </w:r>
                                    <w:r>
                                      <w:rPr>
                                        <w:rFonts w:ascii="Arial" w:eastAsia="Times New Roman" w:hAnsi="Arial" w:cs="Arial"/>
                                        <w:color w:val="5F5F60"/>
                                        <w:sz w:val="12"/>
                                        <w:szCs w:val="12"/>
                                        <w:lang w:val="bg-BG"/>
                                      </w:rPr>
                                      <w:t>когато увеличенията в приблизителните оценки надвишават балансовата стойност на маржа на договорената услуга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или намаленията са отнесени към компонент на загуба</w:t>
                                    </w:r>
                                    <w:r w:rsidR="00531329" w:rsidRPr="00531329">
                                      <w:rPr>
                                        <w:rFonts w:ascii="Arial" w:eastAsia="Times New Roman" w:hAnsi="Arial" w:cs="Arial"/>
                                        <w:color w:val="5F5F60"/>
                                        <w:sz w:val="12"/>
                                        <w:szCs w:val="12"/>
                                      </w:rPr>
                                      <w:t>.</w:t>
                                    </w:r>
                                  </w:p>
                                  <w:p w:rsidR="00531329" w:rsidRPr="00531329" w:rsidRDefault="00A42F3D" w:rsidP="00531329">
                                    <w:pPr>
                                      <w:numPr>
                                        <w:ilvl w:val="0"/>
                                        <w:numId w:val="2"/>
                                      </w:numPr>
                                      <w:spacing w:before="100" w:beforeAutospacing="1" w:after="100" w:afterAutospacing="1" w:line="180" w:lineRule="atLeast"/>
                                      <w:ind w:right="50"/>
                                      <w:rPr>
                                        <w:rFonts w:ascii="Arial" w:eastAsia="Times New Roman" w:hAnsi="Arial" w:cs="Arial"/>
                                        <w:color w:val="5F5F60"/>
                                        <w:sz w:val="12"/>
                                        <w:szCs w:val="12"/>
                                      </w:rPr>
                                    </w:pPr>
                                    <w:proofErr w:type="gramStart"/>
                                    <w:r>
                                      <w:rPr>
                                        <w:rFonts w:ascii="Arial" w:eastAsia="Times New Roman" w:hAnsi="Arial" w:cs="Arial"/>
                                        <w:color w:val="5F5F60"/>
                                        <w:sz w:val="12"/>
                                        <w:szCs w:val="12"/>
                                        <w:lang w:val="bg-BG"/>
                                      </w:rPr>
                                      <w:t>да</w:t>
                                    </w:r>
                                    <w:proofErr w:type="gramEnd"/>
                                    <w:r>
                                      <w:rPr>
                                        <w:rFonts w:ascii="Arial" w:eastAsia="Times New Roman" w:hAnsi="Arial" w:cs="Arial"/>
                                        <w:color w:val="5F5F60"/>
                                        <w:sz w:val="12"/>
                                        <w:szCs w:val="12"/>
                                        <w:lang w:val="bg-BG"/>
                                      </w:rPr>
                                      <w:t xml:space="preserve"> преработи дефиницията на корекция</w:t>
                                    </w:r>
                                    <w:r w:rsidR="00170663">
                                      <w:rPr>
                                        <w:rFonts w:ascii="Arial" w:eastAsia="Times New Roman" w:hAnsi="Arial" w:cs="Arial"/>
                                        <w:color w:val="5F5F60"/>
                                        <w:sz w:val="12"/>
                                        <w:szCs w:val="12"/>
                                        <w:lang w:val="bg-BG"/>
                                      </w:rPr>
                                      <w:t>, произтичаща от</w:t>
                                    </w:r>
                                    <w:r>
                                      <w:rPr>
                                        <w:rFonts w:ascii="Arial" w:eastAsia="Times New Roman" w:hAnsi="Arial" w:cs="Arial"/>
                                        <w:color w:val="5F5F60"/>
                                        <w:sz w:val="12"/>
                                        <w:szCs w:val="12"/>
                                        <w:lang w:val="bg-BG"/>
                                      </w:rPr>
                                      <w:t xml:space="preserve"> опита, така че да изключи компоненти на инвестиции</w:t>
                                    </w:r>
                                    <w:r w:rsidR="00531329" w:rsidRPr="00531329">
                                      <w:rPr>
                                        <w:rFonts w:ascii="Arial" w:eastAsia="Times New Roman" w:hAnsi="Arial" w:cs="Arial"/>
                                        <w:color w:val="5F5F60"/>
                                        <w:sz w:val="12"/>
                                        <w:szCs w:val="12"/>
                                      </w:rPr>
                                      <w:t>.</w:t>
                                    </w:r>
                                  </w:p>
                                  <w:p w:rsidR="00531329" w:rsidRPr="00531329" w:rsidRDefault="00A42F3D" w:rsidP="00531329">
                                    <w:pPr>
                                      <w:numPr>
                                        <w:ilvl w:val="0"/>
                                        <w:numId w:val="2"/>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че размерът на маржа на договорената услуга</w:t>
                                    </w:r>
                                    <w:r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по отношение на група застрахователни договори, признат в печалбата или загубата във всеки един период, се определя като балансовата стойност на маржа на договорената услуга се разпредели след като всички останали корекции в балансовата стойност на маржа на договорената услуга към началото на периода са вече направени</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 тези решения</w:t>
                                    </w:r>
                                    <w:r w:rsidR="00531329" w:rsidRPr="00531329">
                                      <w:rPr>
                                        <w:rFonts w:ascii="Arial" w:eastAsia="Times New Roman" w:hAnsi="Arial" w:cs="Arial"/>
                                        <w:color w:val="5F5F60"/>
                                        <w:sz w:val="12"/>
                                        <w:szCs w:val="12"/>
                                      </w:rPr>
                                      <w:t>.</w:t>
                                    </w:r>
                                  </w:p>
                                  <w:p w:rsidR="00531329" w:rsidRPr="00531329" w:rsidRDefault="009A095A"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Изключение с тесен обхват по отношение групирането на засегнато от регулации ценообразуване на застрахователни договори</w:t>
                                    </w:r>
                                    <w:r w:rsidR="00531329" w:rsidRPr="00531329">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2</w:t>
                                    </w:r>
                                    <w:r>
                                      <w:rPr>
                                        <w:rFonts w:ascii="Arial" w:eastAsia="Times New Roman" w:hAnsi="Arial" w:cs="Arial"/>
                                        <w:b/>
                                        <w:bCs/>
                                        <w:color w:val="5F5F60"/>
                                        <w:sz w:val="12"/>
                                        <w:lang w:val="bg-BG"/>
                                      </w:rPr>
                                      <w:t>Б</w:t>
                                    </w:r>
                                    <w:r w:rsidR="00531329" w:rsidRPr="00531329">
                                      <w:rPr>
                                        <w:rFonts w:ascii="Arial" w:eastAsia="Times New Roman" w:hAnsi="Arial" w:cs="Arial"/>
                                        <w:b/>
                                        <w:bCs/>
                                        <w:color w:val="5F5F60"/>
                                        <w:sz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A42F3D">
                                      <w:rPr>
                                        <w:rFonts w:ascii="Arial" w:eastAsia="Times New Roman" w:hAnsi="Arial" w:cs="Arial"/>
                                        <w:color w:val="5F5F60"/>
                                        <w:sz w:val="12"/>
                                        <w:szCs w:val="12"/>
                                        <w:lang w:val="bg-BG"/>
                                      </w:rPr>
                                      <w:t xml:space="preserve">, че предприятието следва да бъде освободено от изискването да разделя </w:t>
                                    </w:r>
                                    <w:r w:rsidR="00EB2813">
                                      <w:rPr>
                                        <w:rFonts w:ascii="Arial" w:eastAsia="Times New Roman" w:hAnsi="Arial" w:cs="Arial"/>
                                        <w:color w:val="5F5F60"/>
                                        <w:sz w:val="12"/>
                                        <w:szCs w:val="12"/>
                                        <w:lang w:val="bg-BG"/>
                                      </w:rPr>
                                      <w:t xml:space="preserve">даден </w:t>
                                    </w:r>
                                    <w:r w:rsidR="00A42F3D">
                                      <w:rPr>
                                        <w:rFonts w:ascii="Arial" w:eastAsia="Times New Roman" w:hAnsi="Arial" w:cs="Arial"/>
                                        <w:color w:val="5F5F60"/>
                                        <w:sz w:val="12"/>
                                        <w:szCs w:val="12"/>
                                        <w:lang w:val="bg-BG"/>
                                      </w:rPr>
                                      <w:t xml:space="preserve">портфейл на групи договори </w:t>
                                    </w:r>
                                    <w:r w:rsidR="00531329" w:rsidRPr="00531329">
                                      <w:rPr>
                                        <w:rFonts w:ascii="Arial" w:eastAsia="Times New Roman" w:hAnsi="Arial" w:cs="Arial"/>
                                        <w:color w:val="5F5F60"/>
                                        <w:sz w:val="12"/>
                                        <w:szCs w:val="12"/>
                                      </w:rPr>
                                      <w:t>—</w:t>
                                    </w:r>
                                    <w:r w:rsidR="00A42F3D">
                                      <w:rPr>
                                        <w:rFonts w:ascii="Arial" w:eastAsia="Times New Roman" w:hAnsi="Arial" w:cs="Arial"/>
                                        <w:color w:val="5F5F60"/>
                                        <w:sz w:val="12"/>
                                        <w:szCs w:val="12"/>
                                        <w:lang w:val="bg-BG"/>
                                      </w:rPr>
                                      <w:t xml:space="preserve"> </w:t>
                                    </w:r>
                                    <w:r w:rsidR="00EB2813">
                                      <w:rPr>
                                        <w:rFonts w:ascii="Arial" w:eastAsia="Times New Roman" w:hAnsi="Arial" w:cs="Arial"/>
                                        <w:color w:val="5F5F60"/>
                                        <w:sz w:val="12"/>
                                        <w:szCs w:val="12"/>
                                        <w:lang w:val="bg-BG"/>
                                      </w:rPr>
                                      <w:t>група, която е обременяваща в самото начало</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група, за която не е вероятно в значителна степен да е обременяваща</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и други договори</w:t>
                                    </w:r>
                                    <w:r w:rsidR="00531329" w:rsidRPr="00531329">
                                      <w:rPr>
                                        <w:rFonts w:ascii="Arial" w:eastAsia="Times New Roman" w:hAnsi="Arial" w:cs="Arial"/>
                                        <w:color w:val="5F5F60"/>
                                        <w:sz w:val="12"/>
                                        <w:szCs w:val="12"/>
                                      </w:rPr>
                                      <w:t>—</w:t>
                                    </w:r>
                                    <w:r w:rsidR="00EB2813">
                                      <w:rPr>
                                        <w:rFonts w:ascii="Arial" w:eastAsia="Times New Roman" w:hAnsi="Arial" w:cs="Arial"/>
                                        <w:color w:val="5F5F60"/>
                                        <w:sz w:val="12"/>
                                        <w:szCs w:val="12"/>
                                        <w:lang w:val="bg-BG"/>
                                      </w:rPr>
                                      <w:t>ако и само ако</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прилагането на въпросното изискване би довело до това предприятието</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да разделя договорите в даден портфейл на такива групи поради наличието на специални ограничения в закон или нормативна разпоредба върху практическата възможност на предприятието да определя нива на цени или ползи, които да са различни в зависимост от определени характеристики на притежателя на полицата</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Когато случаят е такъв</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 xml:space="preserve">предприятието може да </w:t>
                                    </w:r>
                                    <w:r w:rsidR="00EB2813">
                                      <w:rPr>
                                        <w:rFonts w:ascii="Arial" w:eastAsia="Times New Roman" w:hAnsi="Arial" w:cs="Arial"/>
                                        <w:color w:val="5F5F60"/>
                                        <w:sz w:val="12"/>
                                        <w:szCs w:val="12"/>
                                        <w:lang w:val="bg-BG"/>
                                      </w:rPr>
                                      <w:lastRenderedPageBreak/>
                                      <w:t>включи тези договори в една и съща група,</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като следва да оповести този факт</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 xml:space="preserve">Това изключение не следва да се разпростира по аналогия спрямо други засегнати от регулации сделки и </w:t>
                                    </w:r>
                                    <w:r w:rsidR="00E64A3F">
                                      <w:rPr>
                                        <w:rFonts w:ascii="Arial" w:eastAsia="Times New Roman" w:hAnsi="Arial" w:cs="Arial"/>
                                        <w:color w:val="5F5F60"/>
                                        <w:sz w:val="12"/>
                                        <w:szCs w:val="12"/>
                                        <w:lang w:val="bg-BG"/>
                                      </w:rPr>
                                      <w:t>операции</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Единадесет от дванадесетимата членове на Съвета изразиха съгласие, а един - несъгласие с това решение</w:t>
                                    </w:r>
                                    <w:r w:rsidR="00531329" w:rsidRPr="00531329">
                                      <w:rPr>
                                        <w:rFonts w:ascii="Arial" w:eastAsia="Times New Roman" w:hAnsi="Arial" w:cs="Arial"/>
                                        <w:color w:val="5F5F60"/>
                                        <w:sz w:val="12"/>
                                        <w:szCs w:val="12"/>
                                      </w:rPr>
                                      <w:t>.</w:t>
                                    </w:r>
                                  </w:p>
                                  <w:p w:rsidR="00531329" w:rsidRPr="00531329" w:rsidRDefault="009A095A"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Отговор на външния редакционен преглед</w:t>
                                    </w:r>
                                    <w:r w:rsidR="00531329" w:rsidRPr="00531329">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2</w:t>
                                    </w:r>
                                    <w:r>
                                      <w:rPr>
                                        <w:rFonts w:ascii="Arial" w:eastAsia="Times New Roman" w:hAnsi="Arial" w:cs="Arial"/>
                                        <w:b/>
                                        <w:bCs/>
                                        <w:color w:val="5F5F60"/>
                                        <w:sz w:val="12"/>
                                        <w:lang w:val="bg-BG"/>
                                      </w:rPr>
                                      <w:t>В</w:t>
                                    </w:r>
                                    <w:r w:rsidR="00531329" w:rsidRPr="00531329">
                                      <w:rPr>
                                        <w:rFonts w:ascii="Arial" w:eastAsia="Times New Roman" w:hAnsi="Arial" w:cs="Arial"/>
                                        <w:b/>
                                        <w:bCs/>
                                        <w:color w:val="5F5F60"/>
                                        <w:sz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с препоръките, съдържащи се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Документ по програмата</w:t>
                                    </w:r>
                                    <w:r w:rsidR="00531329" w:rsidRPr="00531329">
                                      <w:rPr>
                                        <w:rFonts w:ascii="Arial" w:eastAsia="Times New Roman" w:hAnsi="Arial" w:cs="Arial"/>
                                        <w:color w:val="5F5F60"/>
                                        <w:sz w:val="12"/>
                                        <w:szCs w:val="12"/>
                                      </w:rPr>
                                      <w:t xml:space="preserve"> 2</w:t>
                                    </w:r>
                                    <w:r w:rsidR="00EB2813">
                                      <w:rPr>
                                        <w:rFonts w:ascii="Arial" w:eastAsia="Times New Roman" w:hAnsi="Arial" w:cs="Arial"/>
                                        <w:color w:val="5F5F60"/>
                                        <w:sz w:val="12"/>
                                        <w:szCs w:val="12"/>
                                        <w:lang w:val="bg-BG"/>
                                      </w:rPr>
                                      <w:t>В</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относно оставащите въпроси, нуждаещи се от уточняване</w:t>
                                    </w:r>
                                    <w:r w:rsidR="00531329" w:rsidRPr="00531329">
                                      <w:rPr>
                                        <w:rFonts w:ascii="Arial" w:eastAsia="Times New Roman" w:hAnsi="Arial" w:cs="Arial"/>
                                        <w:color w:val="5F5F60"/>
                                        <w:sz w:val="12"/>
                                        <w:szCs w:val="12"/>
                                      </w:rPr>
                                      <w:t xml:space="preserve">. </w:t>
                                    </w:r>
                                    <w:r w:rsidR="00EB2813">
                                      <w:rPr>
                                        <w:rFonts w:ascii="Arial" w:eastAsia="Times New Roman" w:hAnsi="Arial" w:cs="Arial"/>
                                        <w:color w:val="5F5F60"/>
                                        <w:sz w:val="12"/>
                                        <w:szCs w:val="12"/>
                                        <w:lang w:val="bg-BG"/>
                                      </w:rPr>
                                      <w:t>Членовете на Съвета не поставиха други теми, които да бъдат разгледани на бъдещо заседание</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r>
                                      <w:rPr>
                                        <w:rFonts w:ascii="Arial" w:eastAsia="Times New Roman" w:hAnsi="Arial" w:cs="Arial"/>
                                        <w:b/>
                                        <w:bCs/>
                                        <w:color w:val="40688E"/>
                                        <w:sz w:val="16"/>
                                        <w:szCs w:val="16"/>
                                        <w:lang w:val="bg-BG"/>
                                      </w:rPr>
                                      <w:t>Финансови инструменти с характеристики на собствен капитал</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5)</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700A6E">
                                      <w:rPr>
                                        <w:rFonts w:ascii="Arial" w:eastAsia="Times New Roman" w:hAnsi="Arial" w:cs="Arial"/>
                                        <w:color w:val="5F5F60"/>
                                        <w:sz w:val="12"/>
                                        <w:szCs w:val="12"/>
                                        <w:lang w:val="bg-BG"/>
                                      </w:rPr>
                                      <w:t>обсъди две теми от изследователския проект, отнасящ се до финансовите инструменти с характеристики на собствен капитал</w:t>
                                    </w:r>
                                    <w:r w:rsidR="00531329" w:rsidRPr="00531329">
                                      <w:rPr>
                                        <w:rFonts w:ascii="Arial" w:eastAsia="Times New Roman" w:hAnsi="Arial" w:cs="Arial"/>
                                        <w:color w:val="5F5F60"/>
                                        <w:sz w:val="12"/>
                                        <w:szCs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бе запознат с обобщение на проведените до момента дискусии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Документ по програмата</w:t>
                                    </w:r>
                                    <w:r w:rsidR="00531329" w:rsidRPr="00531329">
                                      <w:rPr>
                                        <w:rFonts w:ascii="Arial" w:eastAsia="Times New Roman" w:hAnsi="Arial" w:cs="Arial"/>
                                        <w:color w:val="5F5F60"/>
                                        <w:sz w:val="12"/>
                                        <w:szCs w:val="12"/>
                                      </w:rPr>
                                      <w:t xml:space="preserve"> 5A, </w:t>
                                    </w:r>
                                    <w:r>
                                      <w:rPr>
                                        <w:rFonts w:ascii="Arial" w:eastAsia="Times New Roman" w:hAnsi="Arial" w:cs="Arial"/>
                                        <w:color w:val="5F5F60"/>
                                        <w:sz w:val="12"/>
                                        <w:szCs w:val="12"/>
                                        <w:lang w:val="bg-BG"/>
                                      </w:rPr>
                                      <w:t>който бе предоставен единствено с информационна цел</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Не бяха взети никакви решения</w:t>
                                    </w:r>
                                    <w:r w:rsidR="00531329" w:rsidRPr="00531329">
                                      <w:rPr>
                                        <w:rFonts w:ascii="Arial" w:eastAsia="Times New Roman" w:hAnsi="Arial" w:cs="Arial"/>
                                        <w:color w:val="5F5F60"/>
                                        <w:sz w:val="12"/>
                                        <w:szCs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обсъди</w:t>
                                    </w:r>
                                    <w:r w:rsidR="00531329" w:rsidRPr="00531329">
                                      <w:rPr>
                                        <w:rFonts w:ascii="Arial" w:eastAsia="Times New Roman" w:hAnsi="Arial" w:cs="Arial"/>
                                        <w:color w:val="5F5F60"/>
                                        <w:sz w:val="12"/>
                                        <w:szCs w:val="12"/>
                                      </w:rPr>
                                      <w:t>:</w:t>
                                    </w:r>
                                  </w:p>
                                  <w:p w:rsidR="00531329" w:rsidRPr="00531329" w:rsidRDefault="00700A6E" w:rsidP="00531329">
                                    <w:pPr>
                                      <w:numPr>
                                        <w:ilvl w:val="0"/>
                                        <w:numId w:val="3"/>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договорни условия и тяхното взаимодействие със законови и регулаторни изисквания</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p>
                                  <w:p w:rsidR="00531329" w:rsidRPr="00531329" w:rsidRDefault="00700A6E" w:rsidP="00531329">
                                    <w:pPr>
                                      <w:numPr>
                                        <w:ilvl w:val="0"/>
                                        <w:numId w:val="3"/>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счетоводно отчитане в рамките на собствения капитал</w:t>
                                    </w:r>
                                    <w:r w:rsidR="00531329" w:rsidRPr="00531329">
                                      <w:rPr>
                                        <w:rFonts w:ascii="Arial" w:eastAsia="Times New Roman" w:hAnsi="Arial" w:cs="Arial"/>
                                        <w:color w:val="5F5F60"/>
                                        <w:sz w:val="12"/>
                                        <w:szCs w:val="12"/>
                                      </w:rPr>
                                      <w:t>.</w:t>
                                    </w:r>
                                  </w:p>
                                  <w:p w:rsidR="00531329" w:rsidRPr="00531329" w:rsidRDefault="00BA302D"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Договорни условия</w:t>
                                    </w:r>
                                    <w:r w:rsidR="00531329" w:rsidRPr="00531329">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5</w:t>
                                    </w:r>
                                    <w:r w:rsidR="00700A6E">
                                      <w:rPr>
                                        <w:rFonts w:ascii="Arial" w:eastAsia="Times New Roman" w:hAnsi="Arial" w:cs="Arial"/>
                                        <w:b/>
                                        <w:bCs/>
                                        <w:color w:val="5F5F60"/>
                                        <w:sz w:val="12"/>
                                        <w:lang w:val="bg-BG"/>
                                      </w:rPr>
                                      <w:t>Б</w:t>
                                    </w:r>
                                    <w:r w:rsidR="00531329" w:rsidRPr="00531329">
                                      <w:rPr>
                                        <w:rFonts w:ascii="Arial" w:eastAsia="Times New Roman" w:hAnsi="Arial" w:cs="Arial"/>
                                        <w:b/>
                                        <w:b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1E491A">
                                      <w:rPr>
                                        <w:rFonts w:ascii="Arial" w:eastAsia="Times New Roman" w:hAnsi="Arial" w:cs="Arial"/>
                                        <w:color w:val="5F5F60"/>
                                        <w:sz w:val="12"/>
                                        <w:szCs w:val="12"/>
                                        <w:lang w:val="bg-BG"/>
                                      </w:rPr>
                                      <w:t>обсъди обхвата на договорните права и задължения, които предприятието трябва да вземе под внимание при прилагането на подход Гама спрямо даден финансови инструмент</w:t>
                                    </w:r>
                                    <w:r w:rsidR="00531329" w:rsidRPr="00531329">
                                      <w:rPr>
                                        <w:rFonts w:ascii="Arial" w:eastAsia="Times New Roman" w:hAnsi="Arial" w:cs="Arial"/>
                                        <w:color w:val="5F5F60"/>
                                        <w:sz w:val="12"/>
                                        <w:szCs w:val="12"/>
                                      </w:rPr>
                                      <w:t xml:space="preserve">. </w:t>
                                    </w:r>
                                    <w:r w:rsidR="001C70B9">
                                      <w:rPr>
                                        <w:rFonts w:ascii="Arial" w:eastAsia="Times New Roman" w:hAnsi="Arial" w:cs="Arial"/>
                                        <w:color w:val="5F5F60"/>
                                        <w:sz w:val="12"/>
                                        <w:szCs w:val="12"/>
                                        <w:lang w:val="bg-BG"/>
                                      </w:rPr>
                                      <w:t>Съветът реши в порядък на работна хипотеза</w:t>
                                    </w:r>
                                    <w:r w:rsidR="00531329" w:rsidRPr="00531329">
                                      <w:rPr>
                                        <w:rFonts w:ascii="Arial" w:eastAsia="Times New Roman" w:hAnsi="Arial" w:cs="Arial"/>
                                        <w:color w:val="5F5F60"/>
                                        <w:sz w:val="12"/>
                                        <w:szCs w:val="12"/>
                                      </w:rPr>
                                      <w:t>:</w:t>
                                    </w:r>
                                  </w:p>
                                  <w:p w:rsidR="00531329" w:rsidRPr="00531329" w:rsidRDefault="001E491A" w:rsidP="00531329">
                                    <w:pPr>
                                      <w:numPr>
                                        <w:ilvl w:val="0"/>
                                        <w:numId w:val="4"/>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да изисква предприятието да прилага подход Гама спрямо договорните условия на даден финансов инструмент в съответствие с</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МСС</w:t>
                                    </w:r>
                                    <w:r w:rsidR="00531329" w:rsidRPr="00531329">
                                      <w:rPr>
                                        <w:rFonts w:ascii="Arial" w:eastAsia="Times New Roman" w:hAnsi="Arial" w:cs="Arial"/>
                                        <w:color w:val="5F5F60"/>
                                        <w:sz w:val="12"/>
                                        <w:szCs w:val="12"/>
                                      </w:rPr>
                                      <w:t xml:space="preserve"> 32 </w:t>
                                    </w:r>
                                    <w:r w:rsidR="00E54E3B">
                                      <w:rPr>
                                        <w:rFonts w:ascii="Arial" w:eastAsia="Times New Roman" w:hAnsi="Arial" w:cs="Arial"/>
                                        <w:i/>
                                        <w:iCs/>
                                        <w:color w:val="5F5F60"/>
                                        <w:sz w:val="12"/>
                                        <w:lang w:val="bg-BG"/>
                                      </w:rPr>
                                      <w:t>Финансови инструменти</w:t>
                                    </w:r>
                                    <w:r w:rsidR="00531329" w:rsidRPr="00531329">
                                      <w:rPr>
                                        <w:rFonts w:ascii="Arial" w:eastAsia="Times New Roman" w:hAnsi="Arial" w:cs="Arial"/>
                                        <w:i/>
                                        <w:iCs/>
                                        <w:color w:val="5F5F60"/>
                                        <w:sz w:val="12"/>
                                      </w:rPr>
                                      <w:t xml:space="preserve">: </w:t>
                                    </w:r>
                                    <w:r w:rsidR="00E54E3B">
                                      <w:rPr>
                                        <w:rFonts w:ascii="Arial" w:eastAsia="Times New Roman" w:hAnsi="Arial" w:cs="Arial"/>
                                        <w:i/>
                                        <w:iCs/>
                                        <w:color w:val="5F5F60"/>
                                        <w:sz w:val="12"/>
                                        <w:lang w:val="bg-BG"/>
                                      </w:rPr>
                                      <w:t>представяне</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E54E3B">
                                      <w:rPr>
                                        <w:rFonts w:ascii="Arial" w:eastAsia="Times New Roman" w:hAnsi="Arial" w:cs="Arial"/>
                                        <w:i/>
                                        <w:iCs/>
                                        <w:color w:val="5F5F60"/>
                                        <w:sz w:val="12"/>
                                        <w:lang w:val="bg-BG"/>
                                      </w:rPr>
                                      <w:t>Финансови инструменти</w:t>
                                    </w:r>
                                    <w:r w:rsidR="00531329" w:rsidRPr="00531329">
                                      <w:rPr>
                                        <w:rFonts w:ascii="Arial" w:eastAsia="Times New Roman" w:hAnsi="Arial" w:cs="Arial"/>
                                        <w:i/>
                                        <w:iCs/>
                                        <w:color w:val="5F5F60"/>
                                        <w:sz w:val="12"/>
                                      </w:rPr>
                                      <w:t xml:space="preserve">. </w:t>
                                    </w:r>
                                    <w:r w:rsidR="00D25120">
                                      <w:rPr>
                                        <w:rFonts w:ascii="Arial" w:eastAsia="Times New Roman" w:hAnsi="Arial" w:cs="Arial"/>
                                        <w:color w:val="5F5F60"/>
                                        <w:sz w:val="12"/>
                                        <w:szCs w:val="12"/>
                                        <w:lang w:val="bg-BG"/>
                                      </w:rPr>
                                      <w:t>Десет</w:t>
                                    </w:r>
                                    <w:r w:rsidR="00D25120">
                                      <w:rPr>
                                        <w:rFonts w:ascii="Arial" w:eastAsia="Times New Roman" w:hAnsi="Arial" w:cs="Arial"/>
                                        <w:color w:val="5F5F60"/>
                                        <w:sz w:val="12"/>
                                        <w:szCs w:val="12"/>
                                      </w:rPr>
                                      <w:t xml:space="preserve"> от дванадесетимата членове на Съвета изразиха съгласие, а </w:t>
                                    </w:r>
                                    <w:r w:rsidR="00D25120">
                                      <w:rPr>
                                        <w:rFonts w:ascii="Arial" w:eastAsia="Times New Roman" w:hAnsi="Arial" w:cs="Arial"/>
                                        <w:color w:val="5F5F60"/>
                                        <w:sz w:val="12"/>
                                        <w:szCs w:val="12"/>
                                        <w:lang w:val="bg-BG"/>
                                      </w:rPr>
                                      <w:t>двама</w:t>
                                    </w:r>
                                    <w:r w:rsidR="00D25120">
                                      <w:rPr>
                                        <w:rFonts w:ascii="Arial" w:eastAsia="Times New Roman" w:hAnsi="Arial" w:cs="Arial"/>
                                        <w:color w:val="5F5F60"/>
                                        <w:sz w:val="12"/>
                                        <w:szCs w:val="12"/>
                                      </w:rPr>
                                      <w:t xml:space="preserve"> - несъгласие с това решение</w:t>
                                    </w:r>
                                    <w:r w:rsidR="00531329" w:rsidRPr="00531329">
                                      <w:rPr>
                                        <w:rFonts w:ascii="Arial" w:eastAsia="Times New Roman" w:hAnsi="Arial" w:cs="Arial"/>
                                        <w:color w:val="5F5F60"/>
                                        <w:sz w:val="12"/>
                                        <w:szCs w:val="12"/>
                                      </w:rPr>
                                      <w:t>.</w:t>
                                    </w:r>
                                  </w:p>
                                  <w:p w:rsidR="00531329" w:rsidRPr="00531329" w:rsidRDefault="001E491A" w:rsidP="00531329">
                                    <w:pPr>
                                      <w:numPr>
                                        <w:ilvl w:val="0"/>
                                        <w:numId w:val="4"/>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да обмисли дали следва да предприеме мерки за адресиране на счетоводното отчитане на задължителни тръжни оферти</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включително потенциални изисквания за оповестяване</w:t>
                                    </w:r>
                                    <w:r w:rsidR="00531329" w:rsidRPr="00531329">
                                      <w:rPr>
                                        <w:rFonts w:ascii="Arial" w:eastAsia="Times New Roman" w:hAnsi="Arial" w:cs="Arial"/>
                                        <w:color w:val="5F5F60"/>
                                        <w:sz w:val="12"/>
                                        <w:szCs w:val="12"/>
                                      </w:rPr>
                                      <w:t xml:space="preserve">. </w:t>
                                    </w:r>
                                    <w:r w:rsidR="001C70B9">
                                      <w:rPr>
                                        <w:rFonts w:ascii="Arial" w:eastAsia="Times New Roman" w:hAnsi="Arial" w:cs="Arial"/>
                                        <w:color w:val="5F5F60"/>
                                        <w:sz w:val="12"/>
                                        <w:szCs w:val="12"/>
                                      </w:rPr>
                                      <w:t>Единадесет от дванадесетимата членове на Съвета изразиха съгласие, а един - несъгласие с това решение</w:t>
                                    </w:r>
                                    <w:r>
                                      <w:rPr>
                                        <w:rFonts w:ascii="Arial" w:eastAsia="Times New Roman" w:hAnsi="Arial" w:cs="Arial"/>
                                        <w:color w:val="5F5F60"/>
                                        <w:sz w:val="12"/>
                                        <w:szCs w:val="12"/>
                                      </w:rPr>
                                      <w:t>.</w:t>
                                    </w:r>
                                  </w:p>
                                  <w:p w:rsidR="00531329" w:rsidRPr="00531329" w:rsidRDefault="001E491A" w:rsidP="00531329">
                                    <w:pPr>
                                      <w:numPr>
                                        <w:ilvl w:val="0"/>
                                        <w:numId w:val="4"/>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да не разглежда повторно</w:t>
                                    </w:r>
                                    <w:r w:rsidR="00531329" w:rsidRPr="00531329">
                                      <w:rPr>
                                        <w:rFonts w:ascii="Arial" w:eastAsia="Times New Roman" w:hAnsi="Arial" w:cs="Arial"/>
                                        <w:color w:val="5F5F60"/>
                                        <w:sz w:val="12"/>
                                        <w:szCs w:val="12"/>
                                      </w:rPr>
                                      <w:t xml:space="preserve"> </w:t>
                                    </w:r>
                                    <w:r w:rsidR="00E54E3B">
                                      <w:rPr>
                                        <w:rFonts w:ascii="Arial" w:eastAsia="Times New Roman" w:hAnsi="Arial" w:cs="Arial"/>
                                        <w:color w:val="5F5F60"/>
                                        <w:sz w:val="12"/>
                                        <w:szCs w:val="12"/>
                                        <w:lang w:val="bg-BG"/>
                                      </w:rPr>
                                      <w:t>КРМСФО</w:t>
                                    </w:r>
                                    <w:r w:rsidR="00531329" w:rsidRPr="00531329">
                                      <w:rPr>
                                        <w:rFonts w:ascii="Arial" w:eastAsia="Times New Roman" w:hAnsi="Arial" w:cs="Arial"/>
                                        <w:color w:val="5F5F60"/>
                                        <w:sz w:val="12"/>
                                        <w:szCs w:val="12"/>
                                      </w:rPr>
                                      <w:t xml:space="preserve"> 2 </w:t>
                                    </w:r>
                                    <w:r w:rsidR="00E54E3B">
                                      <w:rPr>
                                        <w:rFonts w:ascii="Arial" w:eastAsia="Times New Roman" w:hAnsi="Arial" w:cs="Arial"/>
                                        <w:i/>
                                        <w:iCs/>
                                        <w:color w:val="5F5F60"/>
                                        <w:sz w:val="12"/>
                                        <w:lang w:val="bg-BG"/>
                                      </w:rPr>
                                      <w:t>Дялове на членове в кооперации и сходни инструменти</w:t>
                                    </w:r>
                                    <w:r w:rsidR="00531329" w:rsidRPr="00531329">
                                      <w:rPr>
                                        <w:rFonts w:ascii="Arial" w:eastAsia="Times New Roman" w:hAnsi="Arial" w:cs="Arial"/>
                                        <w:i/>
                                        <w:iCs/>
                                        <w:color w:val="5F5F60"/>
                                        <w:sz w:val="12"/>
                                      </w:rPr>
                                      <w:t>,</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 xml:space="preserve">при положение, че на Съвета не са известни </w:t>
                                    </w:r>
                                    <w:r w:rsidR="00D4255A">
                                      <w:rPr>
                                        <w:rFonts w:ascii="Arial" w:eastAsia="Times New Roman" w:hAnsi="Arial" w:cs="Arial"/>
                                        <w:color w:val="5F5F60"/>
                                        <w:sz w:val="12"/>
                                        <w:szCs w:val="12"/>
                                        <w:lang w:val="bg-BG"/>
                                      </w:rPr>
                                      <w:t xml:space="preserve">някакви </w:t>
                                    </w:r>
                                    <w:r>
                                      <w:rPr>
                                        <w:rFonts w:ascii="Arial" w:eastAsia="Times New Roman" w:hAnsi="Arial" w:cs="Arial"/>
                                        <w:color w:val="5F5F60"/>
                                        <w:sz w:val="12"/>
                                        <w:szCs w:val="12"/>
                                        <w:lang w:val="bg-BG"/>
                                      </w:rPr>
                                      <w:t>предизвикателства, свързани с неговото прилагане</w:t>
                                    </w:r>
                                    <w:r w:rsidR="00531329" w:rsidRPr="00531329">
                                      <w:rPr>
                                        <w:rFonts w:ascii="Arial" w:eastAsia="Times New Roman" w:hAnsi="Arial" w:cs="Arial"/>
                                        <w:color w:val="5F5F60"/>
                                        <w:sz w:val="12"/>
                                        <w:szCs w:val="12"/>
                                      </w:rPr>
                                      <w:t xml:space="preserve">. </w:t>
                                    </w:r>
                                    <w:r w:rsidR="001C70B9">
                                      <w:rPr>
                                        <w:rFonts w:ascii="Arial" w:eastAsia="Times New Roman" w:hAnsi="Arial" w:cs="Arial"/>
                                        <w:color w:val="5F5F60"/>
                                        <w:sz w:val="12"/>
                                        <w:szCs w:val="12"/>
                                      </w:rPr>
                                      <w:t>Единадесет от дванадесетимата членове на Съвета изразиха съгласие, а един - несъгласие с това решение</w:t>
                                    </w:r>
                                    <w:r w:rsidR="00531329" w:rsidRPr="00531329">
                                      <w:rPr>
                                        <w:rFonts w:ascii="Arial" w:eastAsia="Times New Roman" w:hAnsi="Arial" w:cs="Arial"/>
                                        <w:color w:val="5F5F60"/>
                                        <w:sz w:val="12"/>
                                        <w:szCs w:val="12"/>
                                      </w:rPr>
                                      <w:t xml:space="preserve">. </w:t>
                                    </w:r>
                                  </w:p>
                                  <w:p w:rsidR="00531329" w:rsidRPr="00531329" w:rsidRDefault="00BA302D"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С</w:t>
                                    </w:r>
                                    <w:r w:rsidRPr="00BA302D">
                                      <w:rPr>
                                        <w:rFonts w:ascii="Arial" w:eastAsia="Times New Roman" w:hAnsi="Arial" w:cs="Arial"/>
                                        <w:b/>
                                        <w:bCs/>
                                        <w:i/>
                                        <w:iCs/>
                                        <w:color w:val="5F5F60"/>
                                        <w:sz w:val="12"/>
                                        <w:lang w:val="bg-BG"/>
                                      </w:rPr>
                                      <w:t>четоводно отчитане в рамките на собствения капитал</w:t>
                                    </w:r>
                                    <w:r w:rsidRPr="00BA302D">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5</w:t>
                                    </w:r>
                                    <w:r w:rsidR="00700A6E">
                                      <w:rPr>
                                        <w:rFonts w:ascii="Arial" w:eastAsia="Times New Roman" w:hAnsi="Arial" w:cs="Arial"/>
                                        <w:b/>
                                        <w:bCs/>
                                        <w:color w:val="5F5F60"/>
                                        <w:sz w:val="12"/>
                                        <w:lang w:val="bg-BG"/>
                                      </w:rPr>
                                      <w:t>В</w:t>
                                    </w:r>
                                    <w:r w:rsidR="00531329" w:rsidRPr="00531329">
                                      <w:rPr>
                                        <w:rFonts w:ascii="Arial" w:eastAsia="Times New Roman" w:hAnsi="Arial" w:cs="Arial"/>
                                        <w:b/>
                                        <w:b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D4255A">
                                      <w:rPr>
                                        <w:rFonts w:ascii="Arial" w:eastAsia="Times New Roman" w:hAnsi="Arial" w:cs="Arial"/>
                                        <w:color w:val="5F5F60"/>
                                        <w:sz w:val="12"/>
                                        <w:szCs w:val="12"/>
                                        <w:lang w:val="bg-BG"/>
                                      </w:rPr>
                                      <w:t>обсъди насоки за прилагане и илюстративни примери, които ще помогнат да се изясни как неговите решения относно подхода Гама ще се прилагат по отношение на счетоводното отчитане в рамките на собствения капитал</w:t>
                                    </w:r>
                                    <w:r w:rsidR="00531329" w:rsidRPr="00531329">
                                      <w:rPr>
                                        <w:rFonts w:ascii="Arial" w:eastAsia="Times New Roman" w:hAnsi="Arial" w:cs="Arial"/>
                                        <w:color w:val="5F5F60"/>
                                        <w:sz w:val="12"/>
                                        <w:szCs w:val="12"/>
                                      </w:rPr>
                                      <w:t xml:space="preserve">. </w:t>
                                    </w:r>
                                    <w:r w:rsidR="00D4255A">
                                      <w:rPr>
                                        <w:rFonts w:ascii="Arial" w:eastAsia="Times New Roman" w:hAnsi="Arial" w:cs="Arial"/>
                                        <w:color w:val="5F5F60"/>
                                        <w:sz w:val="12"/>
                                        <w:szCs w:val="12"/>
                                        <w:lang w:val="bg-BG"/>
                                      </w:rPr>
                                      <w:t>Дискусията се отнасяше до сделки и операции, които поставяха практически предизвикателства при прилагането на съществуващите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МСС</w:t>
                                    </w:r>
                                    <w:r w:rsidR="00531329" w:rsidRPr="00531329">
                                      <w:rPr>
                                        <w:rFonts w:ascii="Arial" w:eastAsia="Times New Roman" w:hAnsi="Arial" w:cs="Arial"/>
                                        <w:color w:val="5F5F60"/>
                                        <w:sz w:val="12"/>
                                        <w:szCs w:val="12"/>
                                      </w:rPr>
                                      <w:t xml:space="preserve"> 32 </w:t>
                                    </w:r>
                                    <w:r w:rsidR="00D4255A">
                                      <w:rPr>
                                        <w:rFonts w:ascii="Arial" w:eastAsia="Times New Roman" w:hAnsi="Arial" w:cs="Arial"/>
                                        <w:color w:val="5F5F60"/>
                                        <w:sz w:val="12"/>
                                        <w:szCs w:val="12"/>
                                        <w:lang w:val="bg-BG"/>
                                      </w:rPr>
                                      <w:t>изисквания</w:t>
                                    </w:r>
                                    <w:r w:rsidR="00531329" w:rsidRPr="00531329">
                                      <w:rPr>
                                        <w:rFonts w:ascii="Arial" w:eastAsia="Times New Roman" w:hAnsi="Arial" w:cs="Arial"/>
                                        <w:color w:val="5F5F60"/>
                                        <w:sz w:val="12"/>
                                        <w:szCs w:val="12"/>
                                      </w:rPr>
                                      <w:t xml:space="preserve">, </w:t>
                                    </w:r>
                                    <w:r w:rsidR="00D4255A">
                                      <w:rPr>
                                        <w:rFonts w:ascii="Arial" w:eastAsia="Times New Roman" w:hAnsi="Arial" w:cs="Arial"/>
                                        <w:color w:val="5F5F60"/>
                                        <w:sz w:val="12"/>
                                        <w:szCs w:val="12"/>
                                        <w:lang w:val="bg-BG"/>
                                      </w:rPr>
                                      <w:t>включително пут опции, издадени върху собствения капитал на предприятието</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Не бяха взети никакви решения</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бъдещо свое заседание Съветът ще обсъди</w:t>
                                    </w:r>
                                    <w:r w:rsidR="00531329" w:rsidRPr="00531329">
                                      <w:rPr>
                                        <w:rFonts w:ascii="Arial" w:eastAsia="Times New Roman" w:hAnsi="Arial" w:cs="Arial"/>
                                        <w:color w:val="5F5F60"/>
                                        <w:sz w:val="12"/>
                                        <w:szCs w:val="12"/>
                                      </w:rPr>
                                      <w:t>:</w:t>
                                    </w:r>
                                  </w:p>
                                  <w:p w:rsidR="00531329" w:rsidRPr="00531329" w:rsidRDefault="00D4255A" w:rsidP="00531329">
                                    <w:pPr>
                                      <w:numPr>
                                        <w:ilvl w:val="0"/>
                                        <w:numId w:val="5"/>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прилагането на подхода Гама спрямо класифицирането на деривативи върху неконтролиращи участия с цена на упражняване, деноминирана в чуждестранна валута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p>
                                  <w:p w:rsidR="00531329" w:rsidRPr="00531329" w:rsidRDefault="00D4255A" w:rsidP="00531329">
                                    <w:pPr>
                                      <w:numPr>
                                        <w:ilvl w:val="0"/>
                                        <w:numId w:val="5"/>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обобщение на взаимодействието с други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стандарти</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 xml:space="preserve">разяснения на КРМСФО и </w:t>
                                    </w:r>
                                    <w:r>
                                      <w:rPr>
                                        <w:rFonts w:ascii="Arial" w:eastAsia="Times New Roman" w:hAnsi="Arial" w:cs="Arial"/>
                                        <w:i/>
                                        <w:iCs/>
                                        <w:color w:val="5F5F60"/>
                                        <w:sz w:val="12"/>
                                        <w:lang w:val="bg-BG"/>
                                      </w:rPr>
                                      <w:t>Концептуалната рамка за финансово отчитане</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bookmarkStart w:id="1" w:name="3"/>
                                    <w:r>
                                      <w:rPr>
                                        <w:rFonts w:ascii="Arial" w:eastAsia="Times New Roman" w:hAnsi="Arial" w:cs="Arial"/>
                                        <w:b/>
                                        <w:bCs/>
                                        <w:color w:val="40688E"/>
                                        <w:sz w:val="16"/>
                                        <w:szCs w:val="16"/>
                                        <w:lang w:val="bg-BG"/>
                                      </w:rPr>
                                      <w:t>Симетрични опции за предсрочно погасяване</w:t>
                                    </w:r>
                                    <w:bookmarkEnd w:id="1"/>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3)</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и обсъди</w:t>
                                    </w:r>
                                    <w:r w:rsidR="00531329" w:rsidRPr="00531329">
                                      <w:rPr>
                                        <w:rFonts w:ascii="Arial" w:eastAsia="Times New Roman" w:hAnsi="Arial" w:cs="Arial"/>
                                        <w:color w:val="5F5F60"/>
                                        <w:sz w:val="12"/>
                                        <w:szCs w:val="12"/>
                                      </w:rPr>
                                      <w:t xml:space="preserve"> </w:t>
                                    </w:r>
                                    <w:r w:rsidR="00B058FF">
                                      <w:rPr>
                                        <w:rFonts w:ascii="Arial" w:eastAsia="Times New Roman" w:hAnsi="Arial" w:cs="Arial"/>
                                        <w:color w:val="5F5F60"/>
                                        <w:sz w:val="12"/>
                                        <w:szCs w:val="12"/>
                                        <w:lang w:val="bg-BG"/>
                                      </w:rPr>
                                      <w:t>предстоящия да бъде издаден Проект за обсъждане относно класифицирането на инструменти, съдържащи симетрични опции за предсрочно погасяване, съгласно</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E54E3B">
                                      <w:rPr>
                                        <w:rFonts w:ascii="Arial" w:eastAsia="Times New Roman" w:hAnsi="Arial" w:cs="Arial"/>
                                        <w:i/>
                                        <w:iCs/>
                                        <w:color w:val="5F5F60"/>
                                        <w:sz w:val="12"/>
                                        <w:lang w:val="bg-BG"/>
                                      </w:rPr>
                                      <w:t>Финансови инструменти</w:t>
                                    </w:r>
                                    <w:r w:rsidR="00531329" w:rsidRPr="00531329">
                                      <w:rPr>
                                        <w:rFonts w:ascii="Arial" w:eastAsia="Times New Roman" w:hAnsi="Arial" w:cs="Arial"/>
                                        <w:i/>
                                        <w:iCs/>
                                        <w:color w:val="5F5F60"/>
                                        <w:sz w:val="12"/>
                                      </w:rPr>
                                      <w:t xml:space="preserve">. </w:t>
                                    </w:r>
                                    <w:r w:rsidR="001C70B9">
                                      <w:rPr>
                                        <w:rFonts w:ascii="Arial" w:eastAsia="Times New Roman" w:hAnsi="Arial" w:cs="Arial"/>
                                        <w:color w:val="5F5F60"/>
                                        <w:sz w:val="12"/>
                                        <w:szCs w:val="12"/>
                                        <w:lang w:val="bg-BG"/>
                                      </w:rPr>
                                      <w:t>Съветът реши в порядък на работна хипотеза</w:t>
                                    </w:r>
                                    <w:r w:rsidR="001C70B9" w:rsidRPr="00531329">
                                      <w:rPr>
                                        <w:rFonts w:ascii="Arial" w:eastAsia="Times New Roman" w:hAnsi="Arial" w:cs="Arial"/>
                                        <w:color w:val="5F5F60"/>
                                        <w:sz w:val="12"/>
                                        <w:szCs w:val="12"/>
                                      </w:rPr>
                                      <w:t xml:space="preserve"> </w:t>
                                    </w:r>
                                    <w:r w:rsidR="00B058FF">
                                      <w:rPr>
                                        <w:rFonts w:ascii="Arial" w:eastAsia="Times New Roman" w:hAnsi="Arial" w:cs="Arial"/>
                                        <w:color w:val="5F5F60"/>
                                        <w:sz w:val="12"/>
                                        <w:szCs w:val="12"/>
                                        <w:lang w:val="bg-BG"/>
                                      </w:rPr>
                                      <w:t>да предостави срок от 30 дни за представяне на коментари във връзка с изменението на</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B058FF"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 xml:space="preserve">Всичките дванадесетима членове на Съвета </w:t>
                                    </w:r>
                                    <w:r>
                                      <w:rPr>
                                        <w:rFonts w:ascii="Arial" w:eastAsia="Times New Roman" w:hAnsi="Arial" w:cs="Arial"/>
                                        <w:color w:val="5F5F60"/>
                                        <w:sz w:val="12"/>
                                        <w:szCs w:val="12"/>
                                        <w:lang w:val="bg-BG"/>
                                      </w:rPr>
                                      <w:t>потвърдиха, че са се уверили, че Съветът е изпълнил изискванията на регламентираната процедура във връзка с разработването на изменението и дадоха разрешение на екипа да пристъпи към процедурата по гласуване</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 xml:space="preserve">Един от членовете на Съвета даде индикации, че е възможно да изрази несъгласие с предложеното изменение в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w:t>
                                    </w:r>
                                  </w:p>
                                  <w:p w:rsidR="00531329" w:rsidRPr="00531329" w:rsidRDefault="00B058FF"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Следващи етапи</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B058FF">
                                      <w:rPr>
                                        <w:rFonts w:ascii="Arial" w:eastAsia="Times New Roman" w:hAnsi="Arial" w:cs="Arial"/>
                                        <w:color w:val="5F5F60"/>
                                        <w:sz w:val="12"/>
                                        <w:szCs w:val="12"/>
                                        <w:lang w:val="bg-BG"/>
                                      </w:rPr>
                                      <w:t>очаква да публикува Проект за обсъждане във връзка с предложеното изменение на</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bookmarkStart w:id="2" w:name="4"/>
                                    <w:r>
                                      <w:rPr>
                                        <w:rFonts w:ascii="Arial" w:eastAsia="Times New Roman" w:hAnsi="Arial" w:cs="Arial"/>
                                        <w:b/>
                                        <w:bCs/>
                                        <w:color w:val="40688E"/>
                                        <w:sz w:val="16"/>
                                        <w:szCs w:val="16"/>
                                        <w:lang w:val="bg-BG"/>
                                      </w:rPr>
                                      <w:lastRenderedPageBreak/>
                                      <w:t>Преглед след въвеждане на</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МСФО</w:t>
                                    </w:r>
                                    <w:r w:rsidR="00531329" w:rsidRPr="00531329">
                                      <w:rPr>
                                        <w:rFonts w:ascii="Arial" w:eastAsia="Times New Roman" w:hAnsi="Arial" w:cs="Arial"/>
                                        <w:b/>
                                        <w:bCs/>
                                        <w:color w:val="40688E"/>
                                        <w:sz w:val="16"/>
                                        <w:szCs w:val="16"/>
                                      </w:rPr>
                                      <w:t xml:space="preserve"> 13 </w:t>
                                    </w:r>
                                    <w:r w:rsidRPr="00E54E3B">
                                      <w:rPr>
                                        <w:rFonts w:ascii="Arial" w:eastAsia="Times New Roman" w:hAnsi="Arial" w:cs="Arial"/>
                                        <w:b/>
                                        <w:bCs/>
                                        <w:i/>
                                        <w:iCs/>
                                        <w:color w:val="40688E"/>
                                        <w:sz w:val="16"/>
                                        <w:szCs w:val="16"/>
                                        <w:lang w:val="bg-BG"/>
                                      </w:rPr>
                                      <w:t>Оценяване по справедлива стойност</w:t>
                                    </w:r>
                                    <w:bookmarkEnd w:id="2"/>
                                    <w:r w:rsidRPr="00E54E3B">
                                      <w:rPr>
                                        <w:rFonts w:ascii="Arial" w:eastAsia="Times New Roman" w:hAnsi="Arial" w:cs="Arial"/>
                                        <w:b/>
                                        <w:bCs/>
                                        <w:i/>
                                        <w:iCs/>
                                        <w:color w:val="40688E"/>
                                        <w:sz w:val="16"/>
                                        <w:szCs w:val="16"/>
                                      </w:rPr>
                                      <w:t xml:space="preserve"> </w:t>
                                    </w:r>
                                    <w:r w:rsidR="00531329" w:rsidRPr="00531329">
                                      <w:rPr>
                                        <w:rFonts w:ascii="Arial" w:eastAsia="Times New Roman" w:hAnsi="Arial" w:cs="Arial"/>
                                        <w:b/>
                                        <w:bCs/>
                                        <w:color w:val="40688E"/>
                                        <w:sz w:val="16"/>
                                        <w:szCs w:val="16"/>
                                      </w:rPr>
                                      <w:t>(</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7)</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обсъди срока за представяне на коментари във връзка с Искането за предоставяне на информация и стъпките от регламентираната процедура, следвани в течение на първата фаза на Прегледа след въвеждане на</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13 </w:t>
                                    </w:r>
                                    <w:r w:rsidR="00E54E3B">
                                      <w:rPr>
                                        <w:rFonts w:ascii="Arial" w:eastAsia="Times New Roman" w:hAnsi="Arial" w:cs="Arial"/>
                                        <w:i/>
                                        <w:iCs/>
                                        <w:color w:val="5F5F60"/>
                                        <w:sz w:val="12"/>
                                        <w:lang w:val="bg-BG"/>
                                      </w:rPr>
                                      <w:t>Оценяване по справедлива стойност</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w:t>
                                    </w:r>
                                    <w:r w:rsidR="00531329" w:rsidRPr="00531329">
                                      <w:rPr>
                                        <w:rFonts w:ascii="Arial" w:eastAsia="Times New Roman" w:hAnsi="Arial" w:cs="Arial"/>
                                        <w:color w:val="5F5F60"/>
                                        <w:sz w:val="12"/>
                                        <w:szCs w:val="12"/>
                                      </w:rPr>
                                      <w:t>:</w:t>
                                    </w:r>
                                  </w:p>
                                  <w:p w:rsidR="00531329" w:rsidRPr="00531329" w:rsidRDefault="00466C6B" w:rsidP="00531329">
                                    <w:pPr>
                                      <w:numPr>
                                        <w:ilvl w:val="0"/>
                                        <w:numId w:val="6"/>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срокът за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представяне на коментари във връзка с Искането за предоставяне на информация</w:t>
                                    </w:r>
                                    <w:r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по повод Прегледа след въвеждане на</w:t>
                                    </w:r>
                                    <w:r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13 </w:t>
                                    </w:r>
                                    <w:r>
                                      <w:rPr>
                                        <w:rFonts w:ascii="Arial" w:eastAsia="Times New Roman" w:hAnsi="Arial" w:cs="Arial"/>
                                        <w:color w:val="5F5F60"/>
                                        <w:sz w:val="12"/>
                                        <w:szCs w:val="12"/>
                                        <w:lang w:val="bg-BG"/>
                                      </w:rPr>
                                      <w:t xml:space="preserve">да е минимум </w:t>
                                    </w:r>
                                    <w:r w:rsidR="00531329" w:rsidRPr="00531329">
                                      <w:rPr>
                                        <w:rFonts w:ascii="Arial" w:eastAsia="Times New Roman" w:hAnsi="Arial" w:cs="Arial"/>
                                        <w:color w:val="5F5F60"/>
                                        <w:sz w:val="12"/>
                                        <w:szCs w:val="12"/>
                                      </w:rPr>
                                      <w:t xml:space="preserve">120 </w:t>
                                    </w:r>
                                    <w:r>
                                      <w:rPr>
                                        <w:rFonts w:ascii="Arial" w:eastAsia="Times New Roman" w:hAnsi="Arial" w:cs="Arial"/>
                                        <w:color w:val="5F5F60"/>
                                        <w:sz w:val="12"/>
                                        <w:szCs w:val="12"/>
                                        <w:lang w:val="bg-BG"/>
                                      </w:rPr>
                                      <w:t>дни</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rPr>
                                      <w:t>Всичките дванадесетима членове на Съвета изразиха съгласие.</w:t>
                                    </w:r>
                                  </w:p>
                                  <w:p w:rsidR="00531329" w:rsidRPr="00531329" w:rsidRDefault="00466C6B" w:rsidP="00531329">
                                    <w:pPr>
                                      <w:numPr>
                                        <w:ilvl w:val="0"/>
                                        <w:numId w:val="6"/>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 xml:space="preserve">че се е уверил, че всички необходими за момента стъпки от регламентираната процедура във връзка с първата фаза на Прегледа след въвеждане на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13</w:t>
                                    </w:r>
                                    <w:r>
                                      <w:rPr>
                                        <w:rFonts w:ascii="Arial" w:eastAsia="Times New Roman" w:hAnsi="Arial" w:cs="Arial"/>
                                        <w:color w:val="5F5F60"/>
                                        <w:sz w:val="12"/>
                                        <w:szCs w:val="12"/>
                                        <w:lang w:val="bg-BG"/>
                                      </w:rPr>
                                      <w:t xml:space="preserve"> са изпълнени</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rPr>
                                      <w:t>Всичките дванадесетима членове на Съвета изразиха съгласие</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планира</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завършеното Искане за предоставяне на информация</w:t>
                                    </w:r>
                                    <w:r w:rsidR="00466C6B"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да е готово за публикация през май 2017 г</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r>
                                      <w:rPr>
                                        <w:rFonts w:ascii="Arial" w:eastAsia="Times New Roman" w:hAnsi="Arial" w:cs="Arial"/>
                                        <w:b/>
                                        <w:bCs/>
                                        <w:color w:val="40688E"/>
                                        <w:sz w:val="16"/>
                                        <w:szCs w:val="16"/>
                                        <w:lang w:val="bg-BG"/>
                                      </w:rPr>
                                      <w:t>Дефиниция на бизнес</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13)</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обсъди обобщение на коментарите, получени във връзка с предложението за изменение на</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3 </w:t>
                                    </w:r>
                                    <w:r w:rsidR="00E54E3B">
                                      <w:rPr>
                                        <w:rFonts w:ascii="Arial" w:eastAsia="Times New Roman" w:hAnsi="Arial" w:cs="Arial"/>
                                        <w:i/>
                                        <w:iCs/>
                                        <w:color w:val="5F5F60"/>
                                        <w:sz w:val="12"/>
                                        <w:lang w:val="bg-BG"/>
                                      </w:rPr>
                                      <w:t>Бизнес комбинации</w:t>
                                    </w:r>
                                    <w:r w:rsidR="00466C6B">
                                      <w:rPr>
                                        <w:rFonts w:ascii="Arial" w:eastAsia="Times New Roman" w:hAnsi="Arial" w:cs="Arial"/>
                                        <w:i/>
                                        <w:iCs/>
                                        <w:color w:val="5F5F60"/>
                                        <w:sz w:val="12"/>
                                        <w:lang w:val="bg-BG"/>
                                      </w:rPr>
                                      <w:t>,</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отнасящо се до дефиницията на бизнес</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Предложенията бяха публикувани през юни</w:t>
                                    </w:r>
                                    <w:r w:rsidR="00531329" w:rsidRPr="00531329">
                                      <w:rPr>
                                        <w:rFonts w:ascii="Arial" w:eastAsia="Times New Roman" w:hAnsi="Arial" w:cs="Arial"/>
                                        <w:color w:val="5F5F60"/>
                                        <w:sz w:val="12"/>
                                        <w:szCs w:val="12"/>
                                      </w:rPr>
                                      <w:t xml:space="preserve"> 2016 </w:t>
                                    </w:r>
                                    <w:r w:rsidR="00466C6B">
                                      <w:rPr>
                                        <w:rFonts w:ascii="Arial" w:eastAsia="Times New Roman" w:hAnsi="Arial" w:cs="Arial"/>
                                        <w:color w:val="5F5F60"/>
                                        <w:sz w:val="12"/>
                                        <w:szCs w:val="12"/>
                                        <w:lang w:val="bg-BG"/>
                                      </w:rPr>
                                      <w:t xml:space="preserve">година в Проект за обсъждане </w:t>
                                    </w:r>
                                    <w:r w:rsidR="00466C6B">
                                      <w:rPr>
                                        <w:rFonts w:ascii="Arial" w:eastAsia="Times New Roman" w:hAnsi="Arial" w:cs="Arial"/>
                                        <w:i/>
                                        <w:iCs/>
                                        <w:color w:val="5F5F60"/>
                                        <w:sz w:val="12"/>
                                        <w:lang w:val="bg-BG"/>
                                      </w:rPr>
                                      <w:t>Дефиниция на бизнес и счетоводно отчитане на преди това държани дялове</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предложени изменения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3 </w:t>
                                    </w:r>
                                    <w:r w:rsidR="00466C6B">
                                      <w:rPr>
                                        <w:rFonts w:ascii="Arial" w:eastAsia="Times New Roman" w:hAnsi="Arial" w:cs="Arial"/>
                                        <w:color w:val="5F5F60"/>
                                        <w:sz w:val="12"/>
                                        <w:szCs w:val="12"/>
                                        <w:lang w:val="bg-BG"/>
                                      </w:rPr>
                                      <w:t>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11).</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От Съвета не бе поискано да взема решения</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466C6B"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 xml:space="preserve">На бъдещо свое заседание </w:t>
                                    </w:r>
                                    <w:r w:rsidR="00700A6E">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ще обсъди анализ на получените коментари</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r>
                                      <w:rPr>
                                        <w:rFonts w:ascii="Arial" w:eastAsia="Times New Roman" w:hAnsi="Arial" w:cs="Arial"/>
                                        <w:b/>
                                        <w:bCs/>
                                        <w:color w:val="40688E"/>
                                        <w:sz w:val="16"/>
                                        <w:szCs w:val="16"/>
                                        <w:lang w:val="bg-BG"/>
                                      </w:rPr>
                                      <w:t>Изследователска програма</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8)</w:t>
                                    </w:r>
                                  </w:p>
                                  <w:p w:rsidR="00531329" w:rsidRPr="00531329" w:rsidRDefault="008E3151"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се запознае с актуална информация във връзка с изследователската си програма</w:t>
                                    </w:r>
                                    <w:r w:rsidR="00531329" w:rsidRPr="00531329">
                                      <w:rPr>
                                        <w:rFonts w:ascii="Arial" w:eastAsia="Times New Roman" w:hAnsi="Arial" w:cs="Arial"/>
                                        <w:color w:val="5F5F60"/>
                                        <w:sz w:val="12"/>
                                        <w:szCs w:val="12"/>
                                      </w:rPr>
                                      <w:t xml:space="preserve">. </w:t>
                                    </w:r>
                                    <w:r w:rsidR="00466C6B">
                                      <w:rPr>
                                        <w:rFonts w:ascii="Arial" w:eastAsia="Times New Roman" w:hAnsi="Arial" w:cs="Arial"/>
                                        <w:color w:val="5F5F60"/>
                                        <w:sz w:val="12"/>
                                        <w:szCs w:val="12"/>
                                        <w:lang w:val="bg-BG"/>
                                      </w:rPr>
                                      <w:t xml:space="preserve">Актуалната информация акцентира върху развития, настъпили след представената </w:t>
                                    </w:r>
                                    <w:r w:rsidR="006C3650">
                                      <w:rPr>
                                        <w:rFonts w:ascii="Arial" w:eastAsia="Times New Roman" w:hAnsi="Arial" w:cs="Arial"/>
                                        <w:color w:val="5F5F60"/>
                                        <w:sz w:val="12"/>
                                        <w:szCs w:val="12"/>
                                        <w:lang w:val="bg-BG"/>
                                      </w:rPr>
                                      <w:t>по време на</w:t>
                                    </w:r>
                                    <w:r w:rsidR="00466C6B">
                                      <w:rPr>
                                        <w:rFonts w:ascii="Arial" w:eastAsia="Times New Roman" w:hAnsi="Arial" w:cs="Arial"/>
                                        <w:color w:val="5F5F60"/>
                                        <w:sz w:val="12"/>
                                        <w:szCs w:val="12"/>
                                        <w:lang w:val="bg-BG"/>
                                      </w:rPr>
                                      <w:t xml:space="preserve"> заседанието на Съвета през октомври 2016 г. информация</w:t>
                                    </w:r>
                                    <w:r w:rsidR="00531329" w:rsidRPr="00531329">
                                      <w:rPr>
                                        <w:rFonts w:ascii="Arial" w:eastAsia="Times New Roman" w:hAnsi="Arial" w:cs="Arial"/>
                                        <w:color w:val="5F5F60"/>
                                        <w:sz w:val="12"/>
                                        <w:szCs w:val="12"/>
                                      </w:rPr>
                                      <w:t xml:space="preserve">. </w:t>
                                    </w:r>
                                    <w:r w:rsidR="006C3650">
                                      <w:rPr>
                                        <w:rFonts w:ascii="Arial" w:eastAsia="Times New Roman" w:hAnsi="Arial" w:cs="Arial"/>
                                        <w:color w:val="5F5F60"/>
                                        <w:sz w:val="12"/>
                                        <w:szCs w:val="12"/>
                                        <w:lang w:val="bg-BG"/>
                                      </w:rPr>
                                      <w:t>Информация относно работната програма на Съвета по международни счетоводни стандарти (</w:t>
                                    </w:r>
                                    <w:r w:rsidR="00531329" w:rsidRPr="00531329">
                                      <w:rPr>
                                        <w:rFonts w:ascii="Arial" w:eastAsia="Times New Roman" w:hAnsi="Arial" w:cs="Arial"/>
                                        <w:color w:val="5F5F60"/>
                                        <w:sz w:val="12"/>
                                        <w:szCs w:val="12"/>
                                      </w:rPr>
                                      <w:t>IASB</w:t>
                                    </w:r>
                                    <w:r w:rsidR="006C3650">
                                      <w:rPr>
                                        <w:rFonts w:ascii="Arial" w:eastAsia="Times New Roman" w:hAnsi="Arial" w:cs="Arial"/>
                                        <w:color w:val="5F5F60"/>
                                        <w:sz w:val="12"/>
                                        <w:szCs w:val="12"/>
                                        <w:lang w:val="bg-BG"/>
                                      </w:rPr>
                                      <w:t>)</w:t>
                                    </w:r>
                                    <w:r w:rsidR="00531329" w:rsidRPr="00531329">
                                      <w:rPr>
                                        <w:rFonts w:ascii="Arial" w:eastAsia="Times New Roman" w:hAnsi="Arial" w:cs="Arial"/>
                                        <w:color w:val="5F5F60"/>
                                        <w:sz w:val="12"/>
                                        <w:szCs w:val="12"/>
                                      </w:rPr>
                                      <w:t xml:space="preserve">, </w:t>
                                    </w:r>
                                    <w:r w:rsidR="006C3650">
                                      <w:rPr>
                                        <w:rFonts w:ascii="Arial" w:eastAsia="Times New Roman" w:hAnsi="Arial" w:cs="Arial"/>
                                        <w:color w:val="5F5F60"/>
                                        <w:sz w:val="12"/>
                                        <w:szCs w:val="12"/>
                                        <w:lang w:val="bg-BG"/>
                                      </w:rPr>
                                      <w:t>включително изследователската програма</w:t>
                                    </w:r>
                                    <w:r w:rsidR="00531329" w:rsidRPr="00531329">
                                      <w:rPr>
                                        <w:rFonts w:ascii="Arial" w:eastAsia="Times New Roman" w:hAnsi="Arial" w:cs="Arial"/>
                                        <w:color w:val="5F5F60"/>
                                        <w:sz w:val="12"/>
                                        <w:szCs w:val="12"/>
                                      </w:rPr>
                                      <w:t xml:space="preserve">, </w:t>
                                    </w:r>
                                    <w:r w:rsidR="006C3650">
                                      <w:rPr>
                                        <w:rFonts w:ascii="Arial" w:eastAsia="Times New Roman" w:hAnsi="Arial" w:cs="Arial"/>
                                        <w:color w:val="5F5F60"/>
                                        <w:sz w:val="12"/>
                                        <w:szCs w:val="12"/>
                                        <w:lang w:val="bg-BG"/>
                                      </w:rPr>
                                      <w:t>е на разположение</w:t>
                                    </w:r>
                                    <w:r w:rsidR="00531329" w:rsidRPr="00531329">
                                      <w:rPr>
                                        <w:rFonts w:ascii="Arial" w:eastAsia="Times New Roman" w:hAnsi="Arial" w:cs="Arial"/>
                                        <w:color w:val="5F5F60"/>
                                        <w:sz w:val="12"/>
                                        <w:szCs w:val="12"/>
                                      </w:rPr>
                                      <w:t xml:space="preserve"> </w:t>
                                    </w:r>
                                    <w:hyperlink r:id="rId6" w:history="1">
                                      <w:r w:rsidR="006C3650">
                                        <w:rPr>
                                          <w:rFonts w:ascii="Arial" w:eastAsia="Times New Roman" w:hAnsi="Arial" w:cs="Arial"/>
                                          <w:b/>
                                          <w:bCs/>
                                          <w:color w:val="0000FF"/>
                                          <w:sz w:val="12"/>
                                          <w:u w:val="single"/>
                                          <w:lang w:val="bg-BG"/>
                                        </w:rPr>
                                        <w:t>тук</w:t>
                                      </w:r>
                                    </w:hyperlink>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отбеляза, че</w:t>
                                    </w:r>
                                    <w:r w:rsidR="00531329" w:rsidRPr="00531329">
                                      <w:rPr>
                                        <w:rFonts w:ascii="Arial" w:eastAsia="Times New Roman" w:hAnsi="Arial" w:cs="Arial"/>
                                        <w:color w:val="5F5F60"/>
                                        <w:sz w:val="12"/>
                                        <w:szCs w:val="12"/>
                                      </w:rPr>
                                      <w:t>:</w:t>
                                    </w:r>
                                  </w:p>
                                  <w:p w:rsidR="00531329" w:rsidRPr="00531329" w:rsidRDefault="006C3650" w:rsidP="00531329">
                                    <w:pPr>
                                      <w:numPr>
                                        <w:ilvl w:val="0"/>
                                        <w:numId w:val="7"/>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подновява работата си във връзка с проекта, посветен на „Репутация и обезценка”</w:t>
                                    </w:r>
                                    <w:r>
                                      <w:rPr>
                                        <w:rFonts w:ascii="Arial" w:eastAsia="Times New Roman" w:hAnsi="Arial" w:cs="Arial"/>
                                        <w:color w:val="5F5F60"/>
                                        <w:sz w:val="12"/>
                                        <w:szCs w:val="12"/>
                                      </w:rPr>
                                      <w:t>;</w:t>
                                    </w:r>
                                  </w:p>
                                  <w:p w:rsidR="00531329" w:rsidRPr="00531329" w:rsidRDefault="006C3650" w:rsidP="00531329">
                                    <w:pPr>
                                      <w:numPr>
                                        <w:ilvl w:val="0"/>
                                        <w:numId w:val="7"/>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работата във връзка с проекта, посветен на бизнес комбинациите под общ контрол вероятно ще бъде подновена през второто тримесечие на</w:t>
                                    </w:r>
                                    <w:r w:rsidR="00531329" w:rsidRPr="00531329">
                                      <w:rPr>
                                        <w:rFonts w:ascii="Arial" w:eastAsia="Times New Roman" w:hAnsi="Arial" w:cs="Arial"/>
                                        <w:color w:val="5F5F60"/>
                                        <w:sz w:val="12"/>
                                        <w:szCs w:val="12"/>
                                      </w:rPr>
                                      <w:t xml:space="preserve"> 2017</w:t>
                                    </w:r>
                                    <w:r>
                                      <w:rPr>
                                        <w:rFonts w:ascii="Arial" w:eastAsia="Times New Roman" w:hAnsi="Arial" w:cs="Arial"/>
                                        <w:color w:val="5F5F60"/>
                                        <w:sz w:val="12"/>
                                        <w:szCs w:val="12"/>
                                        <w:lang w:val="bg-BG"/>
                                      </w:rPr>
                                      <w:t xml:space="preserve"> г</w:t>
                                    </w:r>
                                    <w:r w:rsidR="00531329" w:rsidRPr="00531329">
                                      <w:rPr>
                                        <w:rFonts w:ascii="Arial" w:eastAsia="Times New Roman" w:hAnsi="Arial" w:cs="Arial"/>
                                        <w:color w:val="5F5F60"/>
                                        <w:sz w:val="12"/>
                                        <w:szCs w:val="12"/>
                                      </w:rPr>
                                      <w:t>;</w:t>
                                    </w:r>
                                  </w:p>
                                  <w:p w:rsidR="00531329" w:rsidRPr="00531329" w:rsidRDefault="006C3650" w:rsidP="00531329">
                                    <w:pPr>
                                      <w:numPr>
                                        <w:ilvl w:val="0"/>
                                        <w:numId w:val="7"/>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образователна сесия, посветена на динамичното управление на риска, е планирана за март 2017 година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p>
                                  <w:p w:rsidR="00531329" w:rsidRPr="00531329" w:rsidRDefault="006C3650" w:rsidP="00531329">
                                    <w:pPr>
                                      <w:numPr>
                                        <w:ilvl w:val="0"/>
                                        <w:numId w:val="7"/>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през следващите няколко месеца екипът не очаква да започне работа по изследователски проекти, очакващи своя ред в рамките на изследователската програма</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От Съвета не бе поискано да взема решения</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6C3650">
                                      <w:rPr>
                                        <w:rFonts w:ascii="Arial" w:eastAsia="Times New Roman" w:hAnsi="Arial" w:cs="Arial"/>
                                        <w:color w:val="5F5F60"/>
                                        <w:sz w:val="12"/>
                                        <w:szCs w:val="12"/>
                                        <w:lang w:val="bg-BG"/>
                                      </w:rPr>
                                      <w:t>трябва да получи следващата актуална информация във връзка с изследователската си програма след около три месеца</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r>
                                      <w:rPr>
                                        <w:rFonts w:ascii="Arial" w:eastAsia="Times New Roman" w:hAnsi="Arial" w:cs="Arial"/>
                                        <w:b/>
                                        <w:bCs/>
                                        <w:color w:val="40688E"/>
                                        <w:sz w:val="16"/>
                                        <w:szCs w:val="16"/>
                                        <w:lang w:val="bg-BG"/>
                                      </w:rPr>
                                      <w:t>Дейности с регулирани цени</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9)</w:t>
                                    </w:r>
                                  </w:p>
                                  <w:p w:rsidR="00531329" w:rsidRPr="00067998" w:rsidRDefault="008E3151" w:rsidP="00531329">
                                    <w:pPr>
                                      <w:spacing w:after="0" w:line="180" w:lineRule="atLeast"/>
                                      <w:ind w:right="50"/>
                                      <w:rPr>
                                        <w:rFonts w:ascii="Arial" w:eastAsia="Times New Roman" w:hAnsi="Arial" w:cs="Arial"/>
                                        <w:color w:val="5F5F60"/>
                                        <w:sz w:val="12"/>
                                        <w:szCs w:val="12"/>
                                        <w:lang w:val="bg-BG"/>
                                      </w:rPr>
                                    </w:pPr>
                                    <w:r>
                                      <w:rPr>
                                        <w:rFonts w:ascii="Arial" w:eastAsia="Times New Roman" w:hAnsi="Arial" w:cs="Arial"/>
                                        <w:color w:val="5F5F60"/>
                                        <w:sz w:val="12"/>
                                        <w:szCs w:val="12"/>
                                        <w:lang w:val="bg-BG"/>
                                      </w:rPr>
                                      <w:t>На 23 февруари 2017 г. Съветът проведе заседание, за да</w:t>
                                    </w:r>
                                    <w:r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разгледа предложения за нов счетоводен модел по отношение на дейностите с регулирани цени</w:t>
                                    </w:r>
                                    <w:r w:rsidR="00531329"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В образователна сесия по време на заседанието си от декември 2016 г. Съветът обсъди общ преглед на предложения модел и начина, по който опасенията, изказани от членове на Консултативния форум по счетоводни стандарти са адресирани в този модел.</w:t>
                                    </w:r>
                                  </w:p>
                                  <w:p w:rsidR="00531329" w:rsidRPr="00531329" w:rsidRDefault="00067998"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Общ подход в модела</w:t>
                                    </w:r>
                                    <w:r w:rsidR="00531329" w:rsidRPr="00531329">
                                      <w:rPr>
                                        <w:rFonts w:ascii="Arial" w:eastAsia="Times New Roman" w:hAnsi="Arial" w:cs="Arial"/>
                                        <w:b/>
                                        <w:bCs/>
                                        <w:color w:val="5F5F60"/>
                                        <w:sz w:val="12"/>
                                      </w:rPr>
                                      <w:t xml:space="preserve"> (</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9A)</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проучи въпроса как принципът, предложен в този модел</w:t>
                                    </w:r>
                                    <w:r w:rsidR="00531329"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както и общият подход</w:t>
                                    </w:r>
                                    <w:r w:rsidR="00531329"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използва принципите, съдържащи се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15 </w:t>
                                    </w:r>
                                    <w:r w:rsidR="00E54E3B">
                                      <w:rPr>
                                        <w:rFonts w:ascii="Arial" w:eastAsia="Times New Roman" w:hAnsi="Arial" w:cs="Arial"/>
                                        <w:i/>
                                        <w:iCs/>
                                        <w:color w:val="5F5F60"/>
                                        <w:sz w:val="12"/>
                                        <w:lang w:val="bg-BG"/>
                                      </w:rPr>
                                      <w:t>Приходи от договори с клиенти</w:t>
                                    </w:r>
                                    <w:r w:rsidR="00531329" w:rsidRPr="00531329">
                                      <w:rPr>
                                        <w:rFonts w:ascii="Arial" w:eastAsia="Times New Roman" w:hAnsi="Arial" w:cs="Arial"/>
                                        <w:color w:val="5F5F60"/>
                                        <w:sz w:val="12"/>
                                        <w:szCs w:val="12"/>
                                      </w:rPr>
                                      <w:t xml:space="preserve"> </w:t>
                                    </w:r>
                                    <w:r w:rsidR="00067998">
                                      <w:rPr>
                                        <w:rFonts w:ascii="Arial" w:eastAsia="Times New Roman" w:hAnsi="Arial" w:cs="Arial"/>
                                        <w:color w:val="5F5F60"/>
                                        <w:sz w:val="12"/>
                                        <w:szCs w:val="12"/>
                                        <w:lang w:val="bg-BG"/>
                                      </w:rPr>
                                      <w:t>и разбирането на Съвета, изложено в проекта във връзка с</w:t>
                                    </w:r>
                                    <w:r w:rsidR="00531329" w:rsidRPr="00531329">
                                      <w:rPr>
                                        <w:rFonts w:ascii="Arial" w:eastAsia="Times New Roman" w:hAnsi="Arial" w:cs="Arial"/>
                                        <w:color w:val="5F5F60"/>
                                        <w:sz w:val="12"/>
                                        <w:szCs w:val="12"/>
                                      </w:rPr>
                                      <w:t xml:space="preserve"> </w:t>
                                    </w:r>
                                    <w:r w:rsidR="00067998">
                                      <w:rPr>
                                        <w:rFonts w:ascii="Arial" w:eastAsia="Times New Roman" w:hAnsi="Arial" w:cs="Arial"/>
                                        <w:i/>
                                        <w:iCs/>
                                        <w:color w:val="5F5F60"/>
                                        <w:sz w:val="12"/>
                                        <w:szCs w:val="12"/>
                                        <w:lang w:val="bg-BG"/>
                                      </w:rPr>
                                      <w:t>Концептуалната рамка</w:t>
                                    </w:r>
                                    <w:r w:rsidR="00531329" w:rsidRPr="00531329">
                                      <w:rPr>
                                        <w:rFonts w:ascii="Arial" w:eastAsia="Times New Roman" w:hAnsi="Arial" w:cs="Arial"/>
                                        <w:color w:val="5F5F60"/>
                                        <w:sz w:val="12"/>
                                        <w:szCs w:val="12"/>
                                      </w:rPr>
                                      <w:t xml:space="preserve">. </w:t>
                                    </w:r>
                                    <w:r w:rsidR="001C70B9">
                                      <w:rPr>
                                        <w:rFonts w:ascii="Arial" w:eastAsia="Times New Roman" w:hAnsi="Arial" w:cs="Arial"/>
                                        <w:color w:val="5F5F60"/>
                                        <w:sz w:val="12"/>
                                        <w:szCs w:val="12"/>
                                        <w:lang w:val="bg-BG"/>
                                      </w:rPr>
                                      <w:t>Съветът реши в порядък на работна хипотеза</w:t>
                                    </w:r>
                                    <w:r w:rsidR="00F36A94">
                                      <w:rPr>
                                        <w:rFonts w:ascii="Arial" w:eastAsia="Times New Roman" w:hAnsi="Arial" w:cs="Arial"/>
                                        <w:color w:val="5F5F60"/>
                                        <w:sz w:val="12"/>
                                        <w:szCs w:val="12"/>
                                        <w:lang w:val="bg-BG"/>
                                      </w:rPr>
                                      <w:t>, че екипът следва да продължи да разработва модела, използвайки общия подход</w:t>
                                    </w:r>
                                    <w:r w:rsidR="00531329" w:rsidRPr="00531329">
                                      <w:rPr>
                                        <w:rFonts w:ascii="Arial" w:eastAsia="Times New Roman" w:hAnsi="Arial" w:cs="Arial"/>
                                        <w:color w:val="5F5F60"/>
                                        <w:sz w:val="12"/>
                                        <w:szCs w:val="12"/>
                                      </w:rPr>
                                      <w:t xml:space="preserve">. </w:t>
                                    </w:r>
                                    <w:r w:rsidR="00F36A94">
                                      <w:rPr>
                                        <w:rFonts w:ascii="Arial" w:eastAsia="Times New Roman" w:hAnsi="Arial" w:cs="Arial"/>
                                        <w:color w:val="5F5F60"/>
                                        <w:sz w:val="12"/>
                                        <w:szCs w:val="12"/>
                                        <w:lang w:val="bg-BG"/>
                                      </w:rPr>
                                      <w:t>Съветът обаче поиска екипът да преработи анализа, описващ принципите, които подкрепят този подход</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Единадесет от дванадесетимата членове на Съвета изразиха съгласие, а един - несъгласие с това решение</w:t>
                                    </w:r>
                                    <w:r w:rsidR="00531329" w:rsidRPr="00531329">
                                      <w:rPr>
                                        <w:rFonts w:ascii="Arial" w:eastAsia="Times New Roman" w:hAnsi="Arial" w:cs="Arial"/>
                                        <w:color w:val="5F5F60"/>
                                        <w:sz w:val="12"/>
                                        <w:szCs w:val="12"/>
                                      </w:rPr>
                                      <w:t>.</w:t>
                                    </w:r>
                                  </w:p>
                                  <w:p w:rsidR="00531329" w:rsidRPr="00531329" w:rsidRDefault="00F36A94"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Обхват на модела</w:t>
                                    </w:r>
                                    <w:r w:rsidR="00531329" w:rsidRPr="00531329">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9</w:t>
                                    </w:r>
                                    <w:r>
                                      <w:rPr>
                                        <w:rFonts w:ascii="Arial" w:eastAsia="Times New Roman" w:hAnsi="Arial" w:cs="Arial"/>
                                        <w:b/>
                                        <w:bCs/>
                                        <w:color w:val="5F5F60"/>
                                        <w:sz w:val="12"/>
                                        <w:lang w:val="bg-BG"/>
                                      </w:rPr>
                                      <w:t>Б</w:t>
                                    </w:r>
                                    <w:r w:rsidR="00531329" w:rsidRPr="00531329">
                                      <w:rPr>
                                        <w:rFonts w:ascii="Arial" w:eastAsia="Times New Roman" w:hAnsi="Arial" w:cs="Arial"/>
                                        <w:b/>
                                        <w:bCs/>
                                        <w:color w:val="5F5F60"/>
                                        <w:sz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F36A94">
                                      <w:rPr>
                                        <w:rFonts w:ascii="Arial" w:eastAsia="Times New Roman" w:hAnsi="Arial" w:cs="Arial"/>
                                        <w:color w:val="5F5F60"/>
                                        <w:sz w:val="12"/>
                                        <w:szCs w:val="12"/>
                                        <w:lang w:val="bg-BG"/>
                                      </w:rPr>
                                      <w:t>, че критериите във връзка с обхвата по отношение на модела следва да се фокусират върху подлежащите на принудително изпълнение права и задължения, създадени чрез обща рамка на формално регулаторно ценообразуване</w:t>
                                    </w:r>
                                    <w:r w:rsidR="00531329" w:rsidRPr="00531329">
                                      <w:rPr>
                                        <w:rFonts w:ascii="Arial" w:eastAsia="Times New Roman" w:hAnsi="Arial" w:cs="Arial"/>
                                        <w:color w:val="5F5F60"/>
                                        <w:sz w:val="12"/>
                                        <w:szCs w:val="12"/>
                                      </w:rPr>
                                      <w:t xml:space="preserve"> (</w:t>
                                    </w:r>
                                    <w:r w:rsidR="00F36A94">
                                      <w:rPr>
                                        <w:rFonts w:ascii="Arial" w:eastAsia="Times New Roman" w:hAnsi="Arial" w:cs="Arial"/>
                                        <w:color w:val="5F5F60"/>
                                        <w:sz w:val="12"/>
                                        <w:szCs w:val="12"/>
                                        <w:lang w:val="bg-BG"/>
                                      </w:rPr>
                                      <w:t>например, определяне на цени/ставки</w:t>
                                    </w:r>
                                    <w:r w:rsidR="00531329" w:rsidRPr="00531329">
                                      <w:rPr>
                                        <w:rFonts w:ascii="Arial" w:eastAsia="Times New Roman" w:hAnsi="Arial" w:cs="Arial"/>
                                        <w:color w:val="5F5F60"/>
                                        <w:sz w:val="12"/>
                                        <w:szCs w:val="12"/>
                                      </w:rPr>
                                      <w:t>)</w:t>
                                    </w:r>
                                    <w:r w:rsidR="00F36A94">
                                      <w:rPr>
                                        <w:rFonts w:ascii="Arial" w:eastAsia="Times New Roman" w:hAnsi="Arial" w:cs="Arial"/>
                                        <w:color w:val="5F5F60"/>
                                        <w:sz w:val="12"/>
                                        <w:szCs w:val="12"/>
                                        <w:lang w:val="bg-BG"/>
                                      </w:rPr>
                                      <w:t>, но да изключват други характеристики на процеса по регулиране на цени, описани в документа</w:t>
                                    </w:r>
                                    <w:r w:rsidR="00531329" w:rsidRPr="00531329">
                                      <w:rPr>
                                        <w:rFonts w:ascii="Arial" w:eastAsia="Times New Roman" w:hAnsi="Arial" w:cs="Arial"/>
                                        <w:color w:val="5F5F60"/>
                                        <w:sz w:val="12"/>
                                        <w:szCs w:val="12"/>
                                      </w:rPr>
                                      <w:t xml:space="preserve">. </w:t>
                                    </w:r>
                                    <w:r w:rsidR="00F36A94">
                                      <w:rPr>
                                        <w:rFonts w:ascii="Arial" w:eastAsia="Times New Roman" w:hAnsi="Arial" w:cs="Arial"/>
                                        <w:color w:val="5F5F60"/>
                                        <w:sz w:val="12"/>
                                        <w:szCs w:val="12"/>
                                        <w:lang w:val="bg-BG"/>
                                      </w:rPr>
                                      <w:t>Вместо това, тези други характеристики ще бъдат използвани като индикатори за наличието и възможността за налагане на принудително изпълнение на регулаторните права и задължения</w:t>
                                    </w:r>
                                    <w:r w:rsidR="00531329" w:rsidRPr="00531329">
                                      <w:rPr>
                                        <w:rFonts w:ascii="Arial" w:eastAsia="Times New Roman" w:hAnsi="Arial" w:cs="Arial"/>
                                        <w:color w:val="5F5F60"/>
                                        <w:sz w:val="12"/>
                                        <w:szCs w:val="12"/>
                                      </w:rPr>
                                      <w:t>.</w:t>
                                    </w:r>
                                  </w:p>
                                  <w:p w:rsidR="00531329" w:rsidRPr="00531329" w:rsidRDefault="00CC3C0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Десет</w:t>
                                    </w:r>
                                    <w:r>
                                      <w:rPr>
                                        <w:rFonts w:ascii="Arial" w:eastAsia="Times New Roman" w:hAnsi="Arial" w:cs="Arial"/>
                                        <w:color w:val="5F5F60"/>
                                        <w:sz w:val="12"/>
                                        <w:szCs w:val="12"/>
                                      </w:rPr>
                                      <w:t xml:space="preserve"> от дванадесетимата членове на Съвета изразиха съгласие, а </w:t>
                                    </w:r>
                                    <w:r>
                                      <w:rPr>
                                        <w:rFonts w:ascii="Arial" w:eastAsia="Times New Roman" w:hAnsi="Arial" w:cs="Arial"/>
                                        <w:color w:val="5F5F60"/>
                                        <w:sz w:val="12"/>
                                        <w:szCs w:val="12"/>
                                        <w:lang w:val="bg-BG"/>
                                      </w:rPr>
                                      <w:t>двама</w:t>
                                    </w:r>
                                    <w:r>
                                      <w:rPr>
                                        <w:rFonts w:ascii="Arial" w:eastAsia="Times New Roman" w:hAnsi="Arial" w:cs="Arial"/>
                                        <w:color w:val="5F5F60"/>
                                        <w:sz w:val="12"/>
                                        <w:szCs w:val="12"/>
                                      </w:rPr>
                                      <w:t xml:space="preserve"> - несъгласие с това решение</w:t>
                                    </w:r>
                                    <w:r w:rsidR="00531329" w:rsidRPr="00531329">
                                      <w:rPr>
                                        <w:rFonts w:ascii="Arial" w:eastAsia="Times New Roman" w:hAnsi="Arial" w:cs="Arial"/>
                                        <w:color w:val="5F5F60"/>
                                        <w:sz w:val="12"/>
                                        <w:szCs w:val="12"/>
                                      </w:rPr>
                                      <w:t>.</w:t>
                                    </w:r>
                                  </w:p>
                                  <w:p w:rsidR="00531329" w:rsidRPr="00531329" w:rsidRDefault="00424D1B"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lastRenderedPageBreak/>
                                      <w:t>Признаване на регулаторни активи и регулаторни пасиви</w:t>
                                    </w:r>
                                    <w:r w:rsidR="00531329" w:rsidRPr="00531329">
                                      <w:rPr>
                                        <w:rFonts w:ascii="Arial" w:eastAsia="Times New Roman" w:hAnsi="Arial" w:cs="Arial"/>
                                        <w:b/>
                                        <w:bCs/>
                                        <w:i/>
                                        <w:iCs/>
                                        <w:color w:val="5F5F60"/>
                                        <w:sz w:val="12"/>
                                      </w:rPr>
                                      <w:t xml:space="preserve"> </w:t>
                                    </w:r>
                                    <w:r w:rsidR="00531329" w:rsidRPr="00531329">
                                      <w:rPr>
                                        <w:rFonts w:ascii="Arial" w:eastAsia="Times New Roman" w:hAnsi="Arial" w:cs="Arial"/>
                                        <w:b/>
                                        <w:bCs/>
                                        <w:color w:val="5F5F60"/>
                                        <w:sz w:val="12"/>
                                      </w:rPr>
                                      <w:t>(</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9</w:t>
                                    </w:r>
                                    <w:r w:rsidR="00F36A94">
                                      <w:rPr>
                                        <w:rFonts w:ascii="Arial" w:eastAsia="Times New Roman" w:hAnsi="Arial" w:cs="Arial"/>
                                        <w:b/>
                                        <w:bCs/>
                                        <w:color w:val="5F5F60"/>
                                        <w:sz w:val="12"/>
                                        <w:lang w:val="bg-BG"/>
                                      </w:rPr>
                                      <w:t>В</w:t>
                                    </w:r>
                                    <w:r w:rsidR="00531329" w:rsidRPr="00531329">
                                      <w:rPr>
                                        <w:rFonts w:ascii="Arial" w:eastAsia="Times New Roman" w:hAnsi="Arial" w:cs="Arial"/>
                                        <w:b/>
                                        <w:b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424D1B">
                                      <w:rPr>
                                        <w:rFonts w:ascii="Arial" w:eastAsia="Times New Roman" w:hAnsi="Arial" w:cs="Arial"/>
                                        <w:color w:val="5F5F60"/>
                                        <w:sz w:val="12"/>
                                        <w:szCs w:val="12"/>
                                        <w:lang w:val="bg-BG"/>
                                      </w:rPr>
                                      <w:t>обсъди въпроса дали регулаторен актив или регулаторен пасив следва да бъде признаван единствено, когато</w:t>
                                    </w:r>
                                    <w:r w:rsidR="00531329" w:rsidRPr="00531329">
                                      <w:rPr>
                                        <w:rFonts w:ascii="Arial" w:eastAsia="Times New Roman" w:hAnsi="Arial" w:cs="Arial"/>
                                        <w:color w:val="5F5F60"/>
                                        <w:sz w:val="12"/>
                                        <w:szCs w:val="12"/>
                                      </w:rPr>
                                      <w:t>:</w:t>
                                    </w:r>
                                  </w:p>
                                  <w:p w:rsidR="00531329" w:rsidRPr="00531329" w:rsidRDefault="00424D1B" w:rsidP="00531329">
                                    <w:pPr>
                                      <w:numPr>
                                        <w:ilvl w:val="0"/>
                                        <w:numId w:val="8"/>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регулаторната корекция представлява право или задължение, произтичащо от степента, в която</w:t>
                                    </w:r>
                                    <w:r w:rsidR="00005213">
                                      <w:rPr>
                                        <w:rFonts w:ascii="Arial" w:eastAsia="Times New Roman" w:hAnsi="Arial" w:cs="Arial"/>
                                        <w:color w:val="5F5F60"/>
                                        <w:sz w:val="12"/>
                                        <w:szCs w:val="12"/>
                                        <w:lang w:val="bg-BG"/>
                                      </w:rPr>
                                      <w:t xml:space="preserve"> резултатите от дейността на предприятието надвишават или са надвишени от резултатите от представянето на клиентската база, т.е. степента, в която регулаторното споразумение вече не подлежи на изпълнение</w:t>
                                    </w:r>
                                    <w:r w:rsidR="00005213">
                                      <w:rPr>
                                        <w:rFonts w:ascii="Arial" w:eastAsia="Times New Roman" w:hAnsi="Arial" w:cs="Arial"/>
                                        <w:color w:val="5F5F60"/>
                                        <w:sz w:val="12"/>
                                        <w:szCs w:val="12"/>
                                      </w:rPr>
                                      <w:t>;</w:t>
                                    </w:r>
                                  </w:p>
                                  <w:p w:rsidR="00531329" w:rsidRPr="00531329" w:rsidRDefault="00005213" w:rsidP="00531329">
                                    <w:pPr>
                                      <w:numPr>
                                        <w:ilvl w:val="0"/>
                                        <w:numId w:val="8"/>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полученият в резултат регулаторен актив или регулаторен пасив не е вече признат като актив или пасив, прилагайки други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стандарти</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p>
                                  <w:p w:rsidR="00531329" w:rsidRPr="00531329" w:rsidRDefault="00005213" w:rsidP="00531329">
                                    <w:pPr>
                                      <w:numPr>
                                        <w:ilvl w:val="0"/>
                                        <w:numId w:val="8"/>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е много вероятно, че няма да има съществено сторниране в признатата кумулативна компенсация</w:t>
                                    </w:r>
                                    <w:r w:rsidR="00531329" w:rsidRPr="00531329">
                                      <w:rPr>
                                        <w:rFonts w:ascii="Arial" w:eastAsia="Times New Roman" w:hAnsi="Arial" w:cs="Arial"/>
                                        <w:color w:val="5F5F60"/>
                                        <w:sz w:val="12"/>
                                        <w:szCs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05213">
                                      <w:rPr>
                                        <w:rFonts w:ascii="Arial" w:eastAsia="Times New Roman" w:hAnsi="Arial" w:cs="Arial"/>
                                        <w:color w:val="5F5F60"/>
                                        <w:sz w:val="12"/>
                                        <w:szCs w:val="12"/>
                                        <w:lang w:val="bg-BG"/>
                                      </w:rPr>
                                      <w:t>поиска анализът, подкрепящ критериите в подточки (а) и (б), да бъде прецизиран при преработката на описанието на принципите, подкрепящи общия подход</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05213">
                                      <w:rPr>
                                        <w:rFonts w:ascii="Arial" w:eastAsia="Times New Roman" w:hAnsi="Arial" w:cs="Arial"/>
                                        <w:color w:val="5F5F60"/>
                                        <w:sz w:val="12"/>
                                        <w:szCs w:val="12"/>
                                        <w:lang w:val="bg-BG"/>
                                      </w:rPr>
                                      <w:t>поиска също така критерият, отнасящ се до сторнирането в подточка (в), да бъде преразгледан в по-общия контекст на несигурността и нейния ефект върху признаването и оценяването</w:t>
                                    </w:r>
                                    <w:r w:rsidR="00531329" w:rsidRPr="00531329">
                                      <w:rPr>
                                        <w:rFonts w:ascii="Arial" w:eastAsia="Times New Roman" w:hAnsi="Arial" w:cs="Arial"/>
                                        <w:color w:val="5F5F60"/>
                                        <w:sz w:val="12"/>
                                        <w:szCs w:val="12"/>
                                      </w:rPr>
                                      <w:t>.</w:t>
                                    </w:r>
                                  </w:p>
                                  <w:p w:rsidR="00531329" w:rsidRPr="00531329" w:rsidRDefault="00005213"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Примери за илюстрация</w:t>
                                    </w:r>
                                    <w:r w:rsidR="00531329" w:rsidRPr="00531329">
                                      <w:rPr>
                                        <w:rFonts w:ascii="Arial" w:eastAsia="Times New Roman" w:hAnsi="Arial" w:cs="Arial"/>
                                        <w:b/>
                                        <w:bCs/>
                                        <w:color w:val="5F5F60"/>
                                        <w:sz w:val="12"/>
                                      </w:rPr>
                                      <w:t xml:space="preserve"> (</w:t>
                                    </w:r>
                                    <w:r w:rsidR="001051B0">
                                      <w:rPr>
                                        <w:rFonts w:ascii="Arial" w:eastAsia="Times New Roman" w:hAnsi="Arial" w:cs="Arial"/>
                                        <w:b/>
                                        <w:bCs/>
                                        <w:color w:val="5F5F60"/>
                                        <w:sz w:val="12"/>
                                      </w:rPr>
                                      <w:t>Документ по програмата</w:t>
                                    </w:r>
                                    <w:r w:rsidR="00531329" w:rsidRPr="00531329">
                                      <w:rPr>
                                        <w:rFonts w:ascii="Arial" w:eastAsia="Times New Roman" w:hAnsi="Arial" w:cs="Arial"/>
                                        <w:b/>
                                        <w:bCs/>
                                        <w:color w:val="5F5F60"/>
                                        <w:sz w:val="12"/>
                                      </w:rPr>
                                      <w:t xml:space="preserve"> 9</w:t>
                                    </w:r>
                                    <w:r w:rsidR="00F36A94">
                                      <w:rPr>
                                        <w:rFonts w:ascii="Arial" w:eastAsia="Times New Roman" w:hAnsi="Arial" w:cs="Arial"/>
                                        <w:b/>
                                        <w:bCs/>
                                        <w:color w:val="5F5F60"/>
                                        <w:sz w:val="12"/>
                                        <w:lang w:val="bg-BG"/>
                                      </w:rPr>
                                      <w:t>Г</w:t>
                                    </w:r>
                                    <w:r w:rsidR="00531329" w:rsidRPr="00531329">
                                      <w:rPr>
                                        <w:rFonts w:ascii="Arial" w:eastAsia="Times New Roman" w:hAnsi="Arial" w:cs="Arial"/>
                                        <w:b/>
                                        <w:b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05213">
                                      <w:rPr>
                                        <w:rFonts w:ascii="Arial" w:eastAsia="Times New Roman" w:hAnsi="Arial" w:cs="Arial"/>
                                        <w:color w:val="5F5F60"/>
                                        <w:sz w:val="12"/>
                                        <w:szCs w:val="12"/>
                                        <w:lang w:val="bg-BG"/>
                                      </w:rPr>
                                      <w:t>разгледа пет числови примера, илюстриращи прилагането на критериите за признаване</w:t>
                                    </w:r>
                                    <w:r w:rsidR="00531329" w:rsidRPr="00531329">
                                      <w:rPr>
                                        <w:rFonts w:ascii="Arial" w:eastAsia="Times New Roman" w:hAnsi="Arial" w:cs="Arial"/>
                                        <w:color w:val="5F5F60"/>
                                        <w:sz w:val="12"/>
                                        <w:szCs w:val="12"/>
                                      </w:rPr>
                                      <w:t xml:space="preserve">. </w:t>
                                    </w:r>
                                    <w:r w:rsidR="00005213">
                                      <w:rPr>
                                        <w:rFonts w:ascii="Arial" w:eastAsia="Times New Roman" w:hAnsi="Arial" w:cs="Arial"/>
                                        <w:color w:val="5F5F60"/>
                                        <w:sz w:val="12"/>
                                        <w:szCs w:val="12"/>
                                        <w:lang w:val="bg-BG"/>
                                      </w:rPr>
                                      <w:t>От Съвета не бе поискано да взема решения във връзка с тези примери</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005213"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бъдещо свое заседание Съветът планира да обсъди подробни анализи на оценяването, представянето и оповестяването в предложения модел</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bookmarkStart w:id="3" w:name="8"/>
                                    <w:r>
                                      <w:rPr>
                                        <w:rFonts w:ascii="Arial" w:eastAsia="Times New Roman" w:hAnsi="Arial" w:cs="Arial"/>
                                        <w:b/>
                                        <w:bCs/>
                                        <w:i/>
                                        <w:iCs/>
                                        <w:color w:val="40688E"/>
                                        <w:sz w:val="16"/>
                                        <w:szCs w:val="16"/>
                                        <w:lang w:val="bg-BG"/>
                                      </w:rPr>
                                      <w:t>Концептуална рамка за финансово отчитане</w:t>
                                    </w:r>
                                    <w:r w:rsidR="00531329" w:rsidRPr="00531329">
                                      <w:rPr>
                                        <w:rFonts w:ascii="Arial" w:eastAsia="Times New Roman" w:hAnsi="Arial" w:cs="Arial"/>
                                        <w:b/>
                                        <w:bCs/>
                                        <w:i/>
                                        <w:iCs/>
                                        <w:color w:val="40688E"/>
                                        <w:sz w:val="16"/>
                                        <w:szCs w:val="16"/>
                                      </w:rPr>
                                      <w:t xml:space="preserve"> (</w:t>
                                    </w:r>
                                    <w:r>
                                      <w:rPr>
                                        <w:rFonts w:ascii="Arial" w:eastAsia="Times New Roman" w:hAnsi="Arial" w:cs="Arial"/>
                                        <w:b/>
                                        <w:bCs/>
                                        <w:i/>
                                        <w:iCs/>
                                        <w:color w:val="40688E"/>
                                        <w:sz w:val="16"/>
                                        <w:szCs w:val="16"/>
                                        <w:lang w:val="bg-BG"/>
                                      </w:rPr>
                                      <w:t>„Концептуалната рамка”</w:t>
                                    </w:r>
                                    <w:r w:rsidR="00531329" w:rsidRPr="00531329">
                                      <w:rPr>
                                        <w:rFonts w:ascii="Arial" w:eastAsia="Times New Roman" w:hAnsi="Arial" w:cs="Arial"/>
                                        <w:b/>
                                        <w:bCs/>
                                        <w:i/>
                                        <w:iCs/>
                                        <w:color w:val="40688E"/>
                                        <w:sz w:val="16"/>
                                        <w:szCs w:val="16"/>
                                      </w:rPr>
                                      <w:t>)</w:t>
                                    </w:r>
                                    <w:bookmarkEnd w:id="3"/>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10)</w:t>
                                    </w:r>
                                  </w:p>
                                  <w:p w:rsidR="00531329" w:rsidRPr="00531329" w:rsidRDefault="008E3151" w:rsidP="00531329">
                                    <w:pPr>
                                      <w:spacing w:after="0" w:line="180" w:lineRule="atLeast"/>
                                      <w:ind w:right="552"/>
                                      <w:rPr>
                                        <w:rFonts w:ascii="Arial" w:eastAsia="Times New Roman" w:hAnsi="Arial" w:cs="Arial"/>
                                        <w:color w:val="5F5F60"/>
                                        <w:sz w:val="12"/>
                                        <w:szCs w:val="12"/>
                                      </w:rPr>
                                    </w:pPr>
                                    <w:r>
                                      <w:rPr>
                                        <w:rFonts w:ascii="Arial" w:eastAsia="Times New Roman" w:hAnsi="Arial" w:cs="Arial"/>
                                        <w:color w:val="5F5F60"/>
                                        <w:sz w:val="12"/>
                                        <w:szCs w:val="12"/>
                                        <w:lang w:val="bg-BG"/>
                                      </w:rPr>
                                      <w:t>На 23 февруари 2017 г. Съветът проведе заседание, за да</w:t>
                                    </w:r>
                                    <w:r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обсъди</w:t>
                                    </w:r>
                                    <w:r w:rsidR="00531329"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проекта във връзка с</w:t>
                                    </w:r>
                                    <w:r w:rsidR="00531329" w:rsidRPr="00531329">
                                      <w:rPr>
                                        <w:rFonts w:ascii="Arial" w:eastAsia="Times New Roman" w:hAnsi="Arial" w:cs="Arial"/>
                                        <w:color w:val="5F5F60"/>
                                        <w:sz w:val="12"/>
                                        <w:szCs w:val="12"/>
                                      </w:rPr>
                                      <w:t xml:space="preserve"> </w:t>
                                    </w:r>
                                    <w:r w:rsidR="00C860FF">
                                      <w:rPr>
                                        <w:rFonts w:ascii="Arial" w:eastAsia="Times New Roman" w:hAnsi="Arial" w:cs="Arial"/>
                                        <w:i/>
                                        <w:iCs/>
                                        <w:color w:val="5F5F60"/>
                                        <w:sz w:val="12"/>
                                        <w:szCs w:val="12"/>
                                        <w:lang w:val="bg-BG"/>
                                      </w:rPr>
                                      <w:t>Концептуалната рамка</w:t>
                                    </w:r>
                                    <w:r w:rsidR="00531329"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концентрирайки се върху приложение</w:t>
                                    </w:r>
                                    <w:r w:rsidR="00531329"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относно техниките за оценяване на базата на паричните потоци и върху незначителни коментари относно концепциите, подкрепящи дефинициите за активи и пасиви в Проекта за обсъждане от май 2015 г.</w:t>
                                    </w:r>
                                    <w:r w:rsidR="00531329" w:rsidRPr="00531329">
                                      <w:rPr>
                                        <w:rFonts w:ascii="Arial" w:eastAsia="Times New Roman" w:hAnsi="Arial" w:cs="Arial"/>
                                        <w:color w:val="5F5F60"/>
                                        <w:sz w:val="12"/>
                                        <w:szCs w:val="12"/>
                                      </w:rPr>
                                      <w:t xml:space="preserve"> </w:t>
                                    </w:r>
                                    <w:r w:rsidR="00C860FF">
                                      <w:rPr>
                                        <w:rFonts w:ascii="Arial" w:eastAsia="Times New Roman" w:hAnsi="Arial" w:cs="Arial"/>
                                        <w:i/>
                                        <w:iCs/>
                                        <w:color w:val="5F5F60"/>
                                        <w:sz w:val="12"/>
                                        <w:lang w:val="bg-BG"/>
                                      </w:rPr>
                                      <w:t>Концептуална рамка за финансово отчитане</w:t>
                                    </w:r>
                                    <w:r w:rsidR="00531329"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„Проектът за обсъждане“</w:t>
                                    </w:r>
                                    <w:r w:rsidR="00531329" w:rsidRPr="00531329">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Освен това Съветът обсъди</w:t>
                                    </w:r>
                                    <w:r w:rsidR="00531329" w:rsidRPr="00531329">
                                      <w:rPr>
                                        <w:rFonts w:ascii="Arial" w:eastAsia="Times New Roman" w:hAnsi="Arial" w:cs="Arial"/>
                                        <w:color w:val="5F5F60"/>
                                        <w:sz w:val="12"/>
                                        <w:szCs w:val="12"/>
                                      </w:rPr>
                                      <w:t>:</w:t>
                                    </w:r>
                                  </w:p>
                                  <w:p w:rsidR="00531329" w:rsidRPr="00531329" w:rsidRDefault="00C860FF" w:rsidP="00531329">
                                    <w:pPr>
                                      <w:numPr>
                                        <w:ilvl w:val="0"/>
                                        <w:numId w:val="9"/>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прегледа за несъответствия между преработената</w:t>
                                    </w:r>
                                    <w:r w:rsidR="00531329" w:rsidRPr="00531329">
                                      <w:rPr>
                                        <w:rFonts w:ascii="Arial" w:eastAsia="Times New Roman" w:hAnsi="Arial" w:cs="Arial"/>
                                        <w:color w:val="5F5F60"/>
                                        <w:sz w:val="12"/>
                                        <w:szCs w:val="12"/>
                                      </w:rPr>
                                      <w:t xml:space="preserve"> </w:t>
                                    </w:r>
                                    <w:r w:rsidRPr="00C860FF">
                                      <w:rPr>
                                        <w:rFonts w:ascii="Arial" w:eastAsia="Times New Roman" w:hAnsi="Arial" w:cs="Arial"/>
                                        <w:i/>
                                        <w:iCs/>
                                        <w:color w:val="5F5F60"/>
                                        <w:sz w:val="12"/>
                                        <w:lang w:val="bg-BG"/>
                                      </w:rPr>
                                      <w:t xml:space="preserve">Концептуална рамка </w:t>
                                    </w:r>
                                    <w:r>
                                      <w:rPr>
                                        <w:rFonts w:ascii="Arial" w:eastAsia="Times New Roman" w:hAnsi="Arial" w:cs="Arial"/>
                                        <w:color w:val="5F5F60"/>
                                        <w:sz w:val="12"/>
                                        <w:szCs w:val="12"/>
                                        <w:lang w:val="bg-BG"/>
                                      </w:rPr>
                                      <w:t>и съществуващите</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стандарти</w:t>
                                    </w:r>
                                    <w:r w:rsidR="00531329" w:rsidRPr="00531329">
                                      <w:rPr>
                                        <w:rFonts w:ascii="Arial" w:eastAsia="Times New Roman" w:hAnsi="Arial" w:cs="Arial"/>
                                        <w:color w:val="5F5F60"/>
                                        <w:sz w:val="12"/>
                                        <w:szCs w:val="12"/>
                                      </w:rPr>
                                      <w:t>;</w:t>
                                    </w:r>
                                  </w:p>
                                  <w:p w:rsidR="00531329" w:rsidRPr="00531329" w:rsidRDefault="00C860FF" w:rsidP="00531329">
                                    <w:pPr>
                                      <w:numPr>
                                        <w:ilvl w:val="0"/>
                                        <w:numId w:val="9"/>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оценяването на ефекта от</w:t>
                                    </w:r>
                                    <w:r w:rsidR="00531329" w:rsidRPr="00531329">
                                      <w:rPr>
                                        <w:rFonts w:ascii="Arial" w:eastAsia="Times New Roman" w:hAnsi="Arial" w:cs="Arial"/>
                                        <w:color w:val="5F5F60"/>
                                        <w:sz w:val="12"/>
                                        <w:szCs w:val="12"/>
                                      </w:rPr>
                                      <w:t xml:space="preserve"> </w:t>
                                    </w:r>
                                    <w:r w:rsidRPr="00C860FF">
                                      <w:rPr>
                                        <w:rFonts w:ascii="Arial" w:eastAsia="Times New Roman" w:hAnsi="Arial" w:cs="Arial"/>
                                        <w:color w:val="5F5F60"/>
                                        <w:sz w:val="12"/>
                                        <w:szCs w:val="12"/>
                                        <w:lang w:val="bg-BG"/>
                                      </w:rPr>
                                      <w:t>преработената</w:t>
                                    </w:r>
                                    <w:r w:rsidRPr="00C860FF">
                                      <w:rPr>
                                        <w:rFonts w:ascii="Arial" w:eastAsia="Times New Roman" w:hAnsi="Arial" w:cs="Arial"/>
                                        <w:color w:val="5F5F60"/>
                                        <w:sz w:val="12"/>
                                        <w:szCs w:val="12"/>
                                      </w:rPr>
                                      <w:t xml:space="preserve"> </w:t>
                                    </w:r>
                                    <w:r w:rsidRPr="00C860FF">
                                      <w:rPr>
                                        <w:rFonts w:ascii="Arial" w:eastAsia="Times New Roman" w:hAnsi="Arial" w:cs="Arial"/>
                                        <w:i/>
                                        <w:iCs/>
                                        <w:color w:val="5F5F60"/>
                                        <w:sz w:val="12"/>
                                        <w:szCs w:val="12"/>
                                        <w:lang w:val="bg-BG"/>
                                      </w:rPr>
                                      <w:t>Концептуална рамка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и</w:t>
                                    </w:r>
                                  </w:p>
                                  <w:p w:rsidR="00531329" w:rsidRPr="00531329" w:rsidRDefault="00C860FF" w:rsidP="00531329">
                                    <w:pPr>
                                      <w:numPr>
                                        <w:ilvl w:val="0"/>
                                        <w:numId w:val="9"/>
                                      </w:numPr>
                                      <w:spacing w:before="100" w:beforeAutospacing="1" w:after="100" w:afterAutospacing="1"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стъпките от регламентираната процедура при разработване на</w:t>
                                    </w:r>
                                    <w:r w:rsidR="00531329" w:rsidRPr="00531329">
                                      <w:rPr>
                                        <w:rFonts w:ascii="Arial" w:eastAsia="Times New Roman" w:hAnsi="Arial" w:cs="Arial"/>
                                        <w:color w:val="5F5F60"/>
                                        <w:sz w:val="12"/>
                                        <w:szCs w:val="12"/>
                                      </w:rPr>
                                      <w:t xml:space="preserve"> </w:t>
                                    </w:r>
                                    <w:r w:rsidRPr="00C860FF">
                                      <w:rPr>
                                        <w:rFonts w:ascii="Arial" w:eastAsia="Times New Roman" w:hAnsi="Arial" w:cs="Arial"/>
                                        <w:color w:val="5F5F60"/>
                                        <w:sz w:val="12"/>
                                        <w:szCs w:val="12"/>
                                        <w:lang w:val="bg-BG"/>
                                      </w:rPr>
                                      <w:t>преработената</w:t>
                                    </w:r>
                                    <w:r w:rsidRPr="00C860FF">
                                      <w:rPr>
                                        <w:rFonts w:ascii="Arial" w:eastAsia="Times New Roman" w:hAnsi="Arial" w:cs="Arial"/>
                                        <w:color w:val="5F5F60"/>
                                        <w:sz w:val="12"/>
                                        <w:szCs w:val="12"/>
                                      </w:rPr>
                                      <w:t xml:space="preserve"> </w:t>
                                    </w:r>
                                    <w:r w:rsidRPr="00C860FF">
                                      <w:rPr>
                                        <w:rFonts w:ascii="Arial" w:eastAsia="Times New Roman" w:hAnsi="Arial" w:cs="Arial"/>
                                        <w:i/>
                                        <w:iCs/>
                                        <w:color w:val="5F5F60"/>
                                        <w:sz w:val="12"/>
                                        <w:szCs w:val="12"/>
                                        <w:lang w:val="bg-BG"/>
                                      </w:rPr>
                                      <w:t>Концептуална рамка</w:t>
                                    </w:r>
                                    <w:r>
                                      <w:rPr>
                                        <w:rFonts w:ascii="Arial" w:eastAsia="Times New Roman" w:hAnsi="Arial" w:cs="Arial"/>
                                        <w:color w:val="5F5F60"/>
                                        <w:sz w:val="12"/>
                                        <w:szCs w:val="12"/>
                                      </w:rPr>
                                      <w:t>.</w:t>
                                    </w:r>
                                  </w:p>
                                  <w:p w:rsidR="00531329" w:rsidRPr="00531329" w:rsidRDefault="00C860FF"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Оценяване - Приложение</w:t>
                                    </w:r>
                                    <w:r w:rsidR="00531329" w:rsidRPr="00531329">
                                      <w:rPr>
                                        <w:rFonts w:ascii="Arial" w:eastAsia="Times New Roman" w:hAnsi="Arial" w:cs="Arial"/>
                                        <w:b/>
                                        <w:bCs/>
                                        <w:i/>
                                        <w:iCs/>
                                        <w:color w:val="5F5F60"/>
                                        <w:sz w:val="12"/>
                                      </w:rPr>
                                      <w:t xml:space="preserve"> A: </w:t>
                                    </w:r>
                                    <w:r w:rsidRPr="00C860FF">
                                      <w:rPr>
                                        <w:rFonts w:ascii="Arial" w:eastAsia="Times New Roman" w:hAnsi="Arial" w:cs="Arial"/>
                                        <w:b/>
                                        <w:bCs/>
                                        <w:i/>
                                        <w:iCs/>
                                        <w:color w:val="5F5F60"/>
                                        <w:sz w:val="12"/>
                                        <w:lang w:val="bg-BG"/>
                                      </w:rPr>
                                      <w:t xml:space="preserve">техники за оценяване на базата на паричните потоци </w:t>
                                    </w:r>
                                    <w:r w:rsidR="00531329" w:rsidRPr="00531329">
                                      <w:rPr>
                                        <w:rFonts w:ascii="Arial" w:eastAsia="Times New Roman" w:hAnsi="Arial" w:cs="Arial"/>
                                        <w:b/>
                                        <w:bCs/>
                                        <w:i/>
                                        <w:iCs/>
                                        <w:color w:val="5F5F60"/>
                                        <w:sz w:val="12"/>
                                      </w:rPr>
                                      <w:t>(</w:t>
                                    </w:r>
                                    <w:r w:rsidR="001051B0">
                                      <w:rPr>
                                        <w:rFonts w:ascii="Arial" w:eastAsia="Times New Roman" w:hAnsi="Arial" w:cs="Arial"/>
                                        <w:b/>
                                        <w:bCs/>
                                        <w:i/>
                                        <w:iCs/>
                                        <w:color w:val="5F5F60"/>
                                        <w:sz w:val="12"/>
                                      </w:rPr>
                                      <w:t>Документ по програмата</w:t>
                                    </w:r>
                                    <w:r w:rsidR="00531329" w:rsidRPr="00531329">
                                      <w:rPr>
                                        <w:rFonts w:ascii="Arial" w:eastAsia="Times New Roman" w:hAnsi="Arial" w:cs="Arial"/>
                                        <w:b/>
                                        <w:bCs/>
                                        <w:i/>
                                        <w:iCs/>
                                        <w:color w:val="5F5F60"/>
                                        <w:sz w:val="12"/>
                                      </w:rPr>
                                      <w:t xml:space="preserve"> 10</w:t>
                                    </w:r>
                                    <w:r w:rsidR="00105E58">
                                      <w:rPr>
                                        <w:rFonts w:ascii="Arial" w:eastAsia="Times New Roman" w:hAnsi="Arial" w:cs="Arial"/>
                                        <w:b/>
                                        <w:bCs/>
                                        <w:i/>
                                        <w:iCs/>
                                        <w:color w:val="5F5F60"/>
                                        <w:sz w:val="12"/>
                                        <w:lang w:val="bg-BG"/>
                                      </w:rPr>
                                      <w:t>Б</w:t>
                                    </w:r>
                                    <w:r w:rsidR="00531329" w:rsidRPr="00531329">
                                      <w:rPr>
                                        <w:rFonts w:ascii="Arial" w:eastAsia="Times New Roman" w:hAnsi="Arial" w:cs="Arial"/>
                                        <w:b/>
                                        <w:bCs/>
                                        <w:i/>
                                        <w:iCs/>
                                        <w:color w:val="5F5F60"/>
                                        <w:sz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C860FF">
                                      <w:rPr>
                                        <w:rFonts w:ascii="Arial" w:eastAsia="Times New Roman" w:hAnsi="Arial" w:cs="Arial"/>
                                        <w:color w:val="5F5F60"/>
                                        <w:sz w:val="12"/>
                                        <w:szCs w:val="12"/>
                                        <w:lang w:val="bg-BG"/>
                                      </w:rPr>
                                      <w:t>, че</w:t>
                                    </w:r>
                                    <w:r w:rsidRPr="00531329">
                                      <w:rPr>
                                        <w:rFonts w:ascii="Arial" w:eastAsia="Times New Roman" w:hAnsi="Arial" w:cs="Arial"/>
                                        <w:color w:val="5F5F60"/>
                                        <w:sz w:val="12"/>
                                        <w:szCs w:val="12"/>
                                      </w:rPr>
                                      <w:t xml:space="preserve"> </w:t>
                                    </w:r>
                                    <w:r w:rsidR="00C860FF" w:rsidRPr="00C860FF">
                                      <w:rPr>
                                        <w:rFonts w:ascii="Arial" w:eastAsia="Times New Roman" w:hAnsi="Arial" w:cs="Arial"/>
                                        <w:color w:val="5F5F60"/>
                                        <w:sz w:val="12"/>
                                        <w:szCs w:val="12"/>
                                        <w:lang w:val="bg-BG"/>
                                      </w:rPr>
                                      <w:t>преработената</w:t>
                                    </w:r>
                                    <w:r w:rsidR="00C860FF" w:rsidRPr="00C860FF">
                                      <w:rPr>
                                        <w:rFonts w:ascii="Arial" w:eastAsia="Times New Roman" w:hAnsi="Arial" w:cs="Arial"/>
                                        <w:color w:val="5F5F60"/>
                                        <w:sz w:val="12"/>
                                        <w:szCs w:val="12"/>
                                      </w:rPr>
                                      <w:t xml:space="preserve"> </w:t>
                                    </w:r>
                                    <w:r w:rsidR="00C860FF" w:rsidRPr="00C860FF">
                                      <w:rPr>
                                        <w:rFonts w:ascii="Arial" w:eastAsia="Times New Roman" w:hAnsi="Arial" w:cs="Arial"/>
                                        <w:i/>
                                        <w:iCs/>
                                        <w:color w:val="5F5F60"/>
                                        <w:sz w:val="12"/>
                                        <w:szCs w:val="12"/>
                                        <w:lang w:val="bg-BG"/>
                                      </w:rPr>
                                      <w:t>Концептуална рамка</w:t>
                                    </w:r>
                                    <w:r w:rsidR="00C860FF" w:rsidRPr="00C860FF">
                                      <w:rPr>
                                        <w:rFonts w:ascii="Arial" w:eastAsia="Times New Roman" w:hAnsi="Arial" w:cs="Arial"/>
                                        <w:color w:val="5F5F60"/>
                                        <w:sz w:val="12"/>
                                        <w:szCs w:val="12"/>
                                      </w:rPr>
                                      <w:t xml:space="preserve"> </w:t>
                                    </w:r>
                                    <w:r w:rsidR="00C860FF">
                                      <w:rPr>
                                        <w:rFonts w:ascii="Arial" w:eastAsia="Times New Roman" w:hAnsi="Arial" w:cs="Arial"/>
                                        <w:color w:val="5F5F60"/>
                                        <w:sz w:val="12"/>
                                        <w:szCs w:val="12"/>
                                        <w:lang w:val="bg-BG"/>
                                      </w:rPr>
                                      <w:t xml:space="preserve">ще включва основните положения от приложение, описващо </w:t>
                                    </w:r>
                                    <w:r w:rsidR="00C860FF" w:rsidRPr="00C860FF">
                                      <w:rPr>
                                        <w:rFonts w:ascii="Arial" w:eastAsia="Times New Roman" w:hAnsi="Arial" w:cs="Arial"/>
                                        <w:color w:val="5F5F60"/>
                                        <w:sz w:val="12"/>
                                        <w:szCs w:val="12"/>
                                        <w:lang w:val="bg-BG"/>
                                      </w:rPr>
                                      <w:t>техниките за оценяване на базата на паричните потоци</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C860FF"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Преглед на съществуващите стандарти</w:t>
                                    </w:r>
                                    <w:r w:rsidR="00531329" w:rsidRPr="00531329">
                                      <w:rPr>
                                        <w:rFonts w:ascii="Arial" w:eastAsia="Times New Roman" w:hAnsi="Arial" w:cs="Arial"/>
                                        <w:b/>
                                        <w:bCs/>
                                        <w:i/>
                                        <w:iCs/>
                                        <w:color w:val="5F5F60"/>
                                        <w:sz w:val="12"/>
                                      </w:rPr>
                                      <w:t xml:space="preserve"> </w:t>
                                    </w:r>
                                    <w:r>
                                      <w:rPr>
                                        <w:rFonts w:ascii="Arial" w:eastAsia="Times New Roman" w:hAnsi="Arial" w:cs="Arial"/>
                                        <w:b/>
                                        <w:bCs/>
                                        <w:i/>
                                        <w:iCs/>
                                        <w:color w:val="5F5F60"/>
                                        <w:sz w:val="12"/>
                                        <w:lang w:val="bg-BG"/>
                                      </w:rPr>
                                      <w:t>за потенциални несъответствия</w:t>
                                    </w:r>
                                    <w:r w:rsidR="00531329" w:rsidRPr="00531329">
                                      <w:rPr>
                                        <w:rFonts w:ascii="Arial" w:eastAsia="Times New Roman" w:hAnsi="Arial" w:cs="Arial"/>
                                        <w:b/>
                                        <w:bCs/>
                                        <w:i/>
                                        <w:iCs/>
                                        <w:color w:val="5F5F60"/>
                                        <w:sz w:val="12"/>
                                      </w:rPr>
                                      <w:t xml:space="preserve"> </w:t>
                                    </w:r>
                                    <w:r>
                                      <w:rPr>
                                        <w:rFonts w:ascii="Arial" w:eastAsia="Times New Roman" w:hAnsi="Arial" w:cs="Arial"/>
                                        <w:b/>
                                        <w:bCs/>
                                        <w:i/>
                                        <w:iCs/>
                                        <w:color w:val="5F5F60"/>
                                        <w:sz w:val="12"/>
                                        <w:lang w:val="bg-BG"/>
                                      </w:rPr>
                                      <w:t>с преработената Концептуална рамка</w:t>
                                    </w:r>
                                    <w:r w:rsidR="00531329" w:rsidRPr="00531329">
                                      <w:rPr>
                                        <w:rFonts w:ascii="Arial" w:eastAsia="Times New Roman" w:hAnsi="Arial" w:cs="Arial"/>
                                        <w:b/>
                                        <w:bCs/>
                                        <w:i/>
                                        <w:iCs/>
                                        <w:color w:val="5F5F60"/>
                                        <w:sz w:val="12"/>
                                      </w:rPr>
                                      <w:t xml:space="preserve"> (</w:t>
                                    </w:r>
                                    <w:r w:rsidR="001051B0">
                                      <w:rPr>
                                        <w:rFonts w:ascii="Arial" w:eastAsia="Times New Roman" w:hAnsi="Arial" w:cs="Arial"/>
                                        <w:b/>
                                        <w:bCs/>
                                        <w:i/>
                                        <w:iCs/>
                                        <w:color w:val="5F5F60"/>
                                        <w:sz w:val="12"/>
                                      </w:rPr>
                                      <w:t>Документ по програмата</w:t>
                                    </w:r>
                                    <w:r w:rsidR="00531329" w:rsidRPr="00531329">
                                      <w:rPr>
                                        <w:rFonts w:ascii="Arial" w:eastAsia="Times New Roman" w:hAnsi="Arial" w:cs="Arial"/>
                                        <w:b/>
                                        <w:bCs/>
                                        <w:i/>
                                        <w:iCs/>
                                        <w:color w:val="5F5F60"/>
                                        <w:sz w:val="12"/>
                                      </w:rPr>
                                      <w:t xml:space="preserve"> 10</w:t>
                                    </w:r>
                                    <w:r w:rsidR="00105E58">
                                      <w:rPr>
                                        <w:rFonts w:ascii="Arial" w:eastAsia="Times New Roman" w:hAnsi="Arial" w:cs="Arial"/>
                                        <w:b/>
                                        <w:bCs/>
                                        <w:i/>
                                        <w:iCs/>
                                        <w:color w:val="5F5F60"/>
                                        <w:sz w:val="12"/>
                                        <w:lang w:val="bg-BG"/>
                                      </w:rPr>
                                      <w:t>В</w:t>
                                    </w:r>
                                    <w:r w:rsidR="00531329" w:rsidRPr="00531329">
                                      <w:rPr>
                                        <w:rFonts w:ascii="Arial" w:eastAsia="Times New Roman" w:hAnsi="Arial" w:cs="Arial"/>
                                        <w:b/>
                                        <w:bCs/>
                                        <w:i/>
                                        <w:i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обсъди работата, идентифицираща несъответствия между</w:t>
                                    </w:r>
                                    <w:r w:rsidR="00531329" w:rsidRPr="00531329">
                                      <w:rPr>
                                        <w:rFonts w:ascii="Arial" w:eastAsia="Times New Roman" w:hAnsi="Arial" w:cs="Arial"/>
                                        <w:color w:val="5F5F60"/>
                                        <w:sz w:val="12"/>
                                        <w:szCs w:val="12"/>
                                      </w:rPr>
                                      <w:t xml:space="preserve"> </w:t>
                                    </w:r>
                                    <w:r w:rsidR="00C860FF" w:rsidRPr="00C860FF">
                                      <w:rPr>
                                        <w:rFonts w:ascii="Arial" w:eastAsia="Times New Roman" w:hAnsi="Arial" w:cs="Arial"/>
                                        <w:color w:val="5F5F60"/>
                                        <w:sz w:val="12"/>
                                        <w:szCs w:val="12"/>
                                        <w:lang w:val="bg-BG"/>
                                      </w:rPr>
                                      <w:t>преработената</w:t>
                                    </w:r>
                                    <w:r w:rsidR="00C860FF" w:rsidRPr="00C860FF">
                                      <w:rPr>
                                        <w:rFonts w:ascii="Arial" w:eastAsia="Times New Roman" w:hAnsi="Arial" w:cs="Arial"/>
                                        <w:color w:val="5F5F60"/>
                                        <w:sz w:val="12"/>
                                        <w:szCs w:val="12"/>
                                      </w:rPr>
                                      <w:t xml:space="preserve"> </w:t>
                                    </w:r>
                                    <w:r w:rsidR="00C860FF" w:rsidRPr="00C860FF">
                                      <w:rPr>
                                        <w:rFonts w:ascii="Arial" w:eastAsia="Times New Roman" w:hAnsi="Arial" w:cs="Arial"/>
                                        <w:i/>
                                        <w:iCs/>
                                        <w:color w:val="5F5F60"/>
                                        <w:sz w:val="12"/>
                                        <w:szCs w:val="12"/>
                                        <w:lang w:val="bg-BG"/>
                                      </w:rPr>
                                      <w:t>Концептуална рамка</w:t>
                                    </w:r>
                                    <w:r w:rsidR="00C860FF" w:rsidRPr="00C860FF">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и съществуващите понастоящем стандарти</w:t>
                                    </w:r>
                                    <w:r w:rsidR="00531329" w:rsidRPr="00531329">
                                      <w:rPr>
                                        <w:rFonts w:ascii="Arial" w:eastAsia="Times New Roman" w:hAnsi="Arial" w:cs="Arial"/>
                                        <w:color w:val="5F5F60"/>
                                        <w:sz w:val="12"/>
                                        <w:szCs w:val="12"/>
                                      </w:rPr>
                                      <w:t>.</w:t>
                                    </w:r>
                                  </w:p>
                                  <w:p w:rsidR="00531329" w:rsidRPr="00531329" w:rsidRDefault="00F64265"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Не бяха взети никакви решения</w:t>
                                    </w:r>
                                    <w:r w:rsidR="00531329" w:rsidRPr="00531329">
                                      <w:rPr>
                                        <w:rFonts w:ascii="Arial" w:eastAsia="Times New Roman" w:hAnsi="Arial" w:cs="Arial"/>
                                        <w:color w:val="5F5F60"/>
                                        <w:sz w:val="12"/>
                                        <w:szCs w:val="12"/>
                                      </w:rPr>
                                      <w:t>.</w:t>
                                    </w:r>
                                  </w:p>
                                  <w:p w:rsidR="00531329" w:rsidRPr="00531329" w:rsidRDefault="00F64265"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Ефект от</w:t>
                                    </w:r>
                                    <w:r w:rsidR="00531329" w:rsidRPr="00531329">
                                      <w:rPr>
                                        <w:rFonts w:ascii="Arial" w:eastAsia="Times New Roman" w:hAnsi="Arial" w:cs="Arial"/>
                                        <w:b/>
                                        <w:bCs/>
                                        <w:i/>
                                        <w:iCs/>
                                        <w:color w:val="5F5F60"/>
                                        <w:sz w:val="12"/>
                                      </w:rPr>
                                      <w:t xml:space="preserve"> </w:t>
                                    </w:r>
                                    <w:r w:rsidRPr="00F64265">
                                      <w:rPr>
                                        <w:rFonts w:ascii="Arial" w:eastAsia="Times New Roman" w:hAnsi="Arial" w:cs="Arial"/>
                                        <w:b/>
                                        <w:bCs/>
                                        <w:i/>
                                        <w:iCs/>
                                        <w:color w:val="5F5F60"/>
                                        <w:sz w:val="12"/>
                                        <w:lang w:val="bg-BG"/>
                                      </w:rPr>
                                      <w:t>преработената</w:t>
                                    </w:r>
                                    <w:r w:rsidRPr="00F64265">
                                      <w:rPr>
                                        <w:rFonts w:ascii="Arial" w:eastAsia="Times New Roman" w:hAnsi="Arial" w:cs="Arial"/>
                                        <w:b/>
                                        <w:bCs/>
                                        <w:i/>
                                        <w:iCs/>
                                        <w:color w:val="5F5F60"/>
                                        <w:sz w:val="12"/>
                                      </w:rPr>
                                      <w:t xml:space="preserve"> </w:t>
                                    </w:r>
                                    <w:r w:rsidRPr="00F64265">
                                      <w:rPr>
                                        <w:rFonts w:ascii="Arial" w:eastAsia="Times New Roman" w:hAnsi="Arial" w:cs="Arial"/>
                                        <w:b/>
                                        <w:bCs/>
                                        <w:i/>
                                        <w:iCs/>
                                        <w:color w:val="5F5F60"/>
                                        <w:sz w:val="12"/>
                                        <w:lang w:val="bg-BG"/>
                                      </w:rPr>
                                      <w:t xml:space="preserve">Концептуална рамка </w:t>
                                    </w:r>
                                    <w:r w:rsidR="00531329" w:rsidRPr="00531329">
                                      <w:rPr>
                                        <w:rFonts w:ascii="Arial" w:eastAsia="Times New Roman" w:hAnsi="Arial" w:cs="Arial"/>
                                        <w:b/>
                                        <w:bCs/>
                                        <w:i/>
                                        <w:iCs/>
                                        <w:color w:val="5F5F60"/>
                                        <w:sz w:val="12"/>
                                      </w:rPr>
                                      <w:t>(</w:t>
                                    </w:r>
                                    <w:r w:rsidR="001051B0">
                                      <w:rPr>
                                        <w:rFonts w:ascii="Arial" w:eastAsia="Times New Roman" w:hAnsi="Arial" w:cs="Arial"/>
                                        <w:b/>
                                        <w:bCs/>
                                        <w:i/>
                                        <w:iCs/>
                                        <w:color w:val="5F5F60"/>
                                        <w:sz w:val="12"/>
                                      </w:rPr>
                                      <w:t>Документ по програмата</w:t>
                                    </w:r>
                                    <w:r w:rsidR="00531329" w:rsidRPr="00531329">
                                      <w:rPr>
                                        <w:rFonts w:ascii="Arial" w:eastAsia="Times New Roman" w:hAnsi="Arial" w:cs="Arial"/>
                                        <w:b/>
                                        <w:bCs/>
                                        <w:i/>
                                        <w:iCs/>
                                        <w:color w:val="5F5F60"/>
                                        <w:sz w:val="12"/>
                                      </w:rPr>
                                      <w:t xml:space="preserve"> 10</w:t>
                                    </w:r>
                                    <w:r w:rsidR="00105E58">
                                      <w:rPr>
                                        <w:rFonts w:ascii="Arial" w:eastAsia="Times New Roman" w:hAnsi="Arial" w:cs="Arial"/>
                                        <w:b/>
                                        <w:bCs/>
                                        <w:i/>
                                        <w:iCs/>
                                        <w:color w:val="5F5F60"/>
                                        <w:sz w:val="12"/>
                                        <w:lang w:val="bg-BG"/>
                                      </w:rPr>
                                      <w:t>Г</w:t>
                                    </w:r>
                                    <w:r w:rsidR="00531329" w:rsidRPr="00531329">
                                      <w:rPr>
                                        <w:rFonts w:ascii="Arial" w:eastAsia="Times New Roman" w:hAnsi="Arial" w:cs="Arial"/>
                                        <w:b/>
                                        <w:bCs/>
                                        <w:i/>
                                        <w:iCs/>
                                        <w:color w:val="5F5F60"/>
                                        <w:sz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F64265">
                                      <w:rPr>
                                        <w:rFonts w:ascii="Arial" w:eastAsia="Times New Roman" w:hAnsi="Arial" w:cs="Arial"/>
                                        <w:color w:val="5F5F60"/>
                                        <w:sz w:val="12"/>
                                        <w:szCs w:val="12"/>
                                        <w:lang w:val="bg-BG"/>
                                      </w:rPr>
                                      <w:t>, че работата по оценяване на ефекта от</w:t>
                                    </w:r>
                                    <w:r w:rsidR="00531329" w:rsidRPr="00531329">
                                      <w:rPr>
                                        <w:rFonts w:ascii="Arial" w:eastAsia="Times New Roman" w:hAnsi="Arial" w:cs="Arial"/>
                                        <w:color w:val="5F5F60"/>
                                        <w:sz w:val="12"/>
                                        <w:szCs w:val="12"/>
                                      </w:rPr>
                                      <w:t xml:space="preserve"> </w:t>
                                    </w:r>
                                    <w:r w:rsidR="00C860FF" w:rsidRPr="00C860FF">
                                      <w:rPr>
                                        <w:rFonts w:ascii="Arial" w:eastAsia="Times New Roman" w:hAnsi="Arial" w:cs="Arial"/>
                                        <w:color w:val="5F5F60"/>
                                        <w:sz w:val="12"/>
                                        <w:szCs w:val="12"/>
                                        <w:lang w:val="bg-BG"/>
                                      </w:rPr>
                                      <w:t>преработената</w:t>
                                    </w:r>
                                    <w:r w:rsidR="00C860FF" w:rsidRPr="00C860FF">
                                      <w:rPr>
                                        <w:rFonts w:ascii="Arial" w:eastAsia="Times New Roman" w:hAnsi="Arial" w:cs="Arial"/>
                                        <w:color w:val="5F5F60"/>
                                        <w:sz w:val="12"/>
                                        <w:szCs w:val="12"/>
                                      </w:rPr>
                                      <w:t xml:space="preserve"> </w:t>
                                    </w:r>
                                    <w:r w:rsidR="00C860FF" w:rsidRPr="00C860FF">
                                      <w:rPr>
                                        <w:rFonts w:ascii="Arial" w:eastAsia="Times New Roman" w:hAnsi="Arial" w:cs="Arial"/>
                                        <w:i/>
                                        <w:iCs/>
                                        <w:color w:val="5F5F60"/>
                                        <w:sz w:val="12"/>
                                        <w:szCs w:val="12"/>
                                        <w:lang w:val="bg-BG"/>
                                      </w:rPr>
                                      <w:t>Концептуална рамка</w:t>
                                    </w:r>
                                    <w:r w:rsidR="00C860FF" w:rsidRPr="00C860FF">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е достатъчна</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F64265"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Н</w:t>
                                    </w:r>
                                    <w:r w:rsidRPr="00F64265">
                                      <w:rPr>
                                        <w:rFonts w:ascii="Arial" w:eastAsia="Times New Roman" w:hAnsi="Arial" w:cs="Arial"/>
                                        <w:b/>
                                        <w:bCs/>
                                        <w:i/>
                                        <w:iCs/>
                                        <w:color w:val="5F5F60"/>
                                        <w:sz w:val="12"/>
                                        <w:lang w:val="bg-BG"/>
                                      </w:rPr>
                                      <w:t xml:space="preserve">езначителни коментари относно концепциите, подкрепящи дефинициите за активи и пасиви </w:t>
                                    </w:r>
                                    <w:r w:rsidR="00531329" w:rsidRPr="00531329">
                                      <w:rPr>
                                        <w:rFonts w:ascii="Arial" w:eastAsia="Times New Roman" w:hAnsi="Arial" w:cs="Arial"/>
                                        <w:b/>
                                        <w:bCs/>
                                        <w:i/>
                                        <w:iCs/>
                                        <w:color w:val="5F5F60"/>
                                        <w:sz w:val="12"/>
                                      </w:rPr>
                                      <w:t>(</w:t>
                                    </w:r>
                                    <w:r w:rsidR="001051B0">
                                      <w:rPr>
                                        <w:rFonts w:ascii="Arial" w:eastAsia="Times New Roman" w:hAnsi="Arial" w:cs="Arial"/>
                                        <w:b/>
                                        <w:bCs/>
                                        <w:i/>
                                        <w:iCs/>
                                        <w:color w:val="5F5F60"/>
                                        <w:sz w:val="12"/>
                                      </w:rPr>
                                      <w:t>Документ по програмата</w:t>
                                    </w:r>
                                    <w:r w:rsidR="00531329" w:rsidRPr="00531329">
                                      <w:rPr>
                                        <w:rFonts w:ascii="Arial" w:eastAsia="Times New Roman" w:hAnsi="Arial" w:cs="Arial"/>
                                        <w:b/>
                                        <w:bCs/>
                                        <w:i/>
                                        <w:iCs/>
                                        <w:color w:val="5F5F60"/>
                                        <w:sz w:val="12"/>
                                      </w:rPr>
                                      <w:t xml:space="preserve"> 10</w:t>
                                    </w:r>
                                    <w:r w:rsidR="00105E58">
                                      <w:rPr>
                                        <w:rFonts w:ascii="Arial" w:eastAsia="Times New Roman" w:hAnsi="Arial" w:cs="Arial"/>
                                        <w:b/>
                                        <w:bCs/>
                                        <w:i/>
                                        <w:iCs/>
                                        <w:color w:val="5F5F60"/>
                                        <w:sz w:val="12"/>
                                        <w:lang w:val="bg-BG"/>
                                      </w:rPr>
                                      <w:t>Д</w:t>
                                    </w:r>
                                    <w:r w:rsidR="00531329" w:rsidRPr="00531329">
                                      <w:rPr>
                                        <w:rFonts w:ascii="Arial" w:eastAsia="Times New Roman" w:hAnsi="Arial" w:cs="Arial"/>
                                        <w:b/>
                                        <w:bCs/>
                                        <w:i/>
                                        <w:i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обсъди незначителните коментари, получени по повод концепциите, подкрепящи дефинициите на актив и пасив</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отбеляза, че тези коментари или не пораждат предприемане на определени действия, или могат да бъдат адресирани при редактирането</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75"/>
                                      <w:rPr>
                                        <w:rFonts w:ascii="Arial" w:eastAsia="Times New Roman" w:hAnsi="Arial" w:cs="Arial"/>
                                        <w:color w:val="5F5F60"/>
                                        <w:sz w:val="12"/>
                                        <w:szCs w:val="12"/>
                                      </w:rPr>
                                    </w:pPr>
                                    <w:r>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F64265"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lang w:val="bg-BG"/>
                                      </w:rPr>
                                      <w:t>Обобщение на регламентираната процедура във връзка с Концептуалната рамка за финансово отчитане</w:t>
                                    </w:r>
                                    <w:r w:rsidR="00531329" w:rsidRPr="00531329">
                                      <w:rPr>
                                        <w:rFonts w:ascii="Arial" w:eastAsia="Times New Roman" w:hAnsi="Arial" w:cs="Arial"/>
                                        <w:b/>
                                        <w:bCs/>
                                        <w:i/>
                                        <w:iCs/>
                                        <w:color w:val="5F5F60"/>
                                        <w:sz w:val="12"/>
                                      </w:rPr>
                                      <w:t xml:space="preserve"> (</w:t>
                                    </w:r>
                                    <w:r w:rsidR="001051B0">
                                      <w:rPr>
                                        <w:rFonts w:ascii="Arial" w:eastAsia="Times New Roman" w:hAnsi="Arial" w:cs="Arial"/>
                                        <w:b/>
                                        <w:bCs/>
                                        <w:i/>
                                        <w:iCs/>
                                        <w:color w:val="5F5F60"/>
                                        <w:sz w:val="12"/>
                                      </w:rPr>
                                      <w:t>Документ по програмата</w:t>
                                    </w:r>
                                    <w:r w:rsidR="00531329" w:rsidRPr="00531329">
                                      <w:rPr>
                                        <w:rFonts w:ascii="Arial" w:eastAsia="Times New Roman" w:hAnsi="Arial" w:cs="Arial"/>
                                        <w:b/>
                                        <w:bCs/>
                                        <w:i/>
                                        <w:iCs/>
                                        <w:color w:val="5F5F60"/>
                                        <w:sz w:val="12"/>
                                      </w:rPr>
                                      <w:t xml:space="preserve"> 10</w:t>
                                    </w:r>
                                    <w:r w:rsidR="00105E58">
                                      <w:rPr>
                                        <w:rFonts w:ascii="Arial" w:eastAsia="Times New Roman" w:hAnsi="Arial" w:cs="Arial"/>
                                        <w:b/>
                                        <w:bCs/>
                                        <w:i/>
                                        <w:iCs/>
                                        <w:color w:val="5F5F60"/>
                                        <w:sz w:val="12"/>
                                        <w:lang w:val="bg-BG"/>
                                      </w:rPr>
                                      <w:t>Е</w:t>
                                    </w:r>
                                    <w:r w:rsidR="00531329" w:rsidRPr="00531329">
                                      <w:rPr>
                                        <w:rFonts w:ascii="Arial" w:eastAsia="Times New Roman" w:hAnsi="Arial" w:cs="Arial"/>
                                        <w:b/>
                                        <w:bCs/>
                                        <w:i/>
                                        <w:iCs/>
                                        <w:color w:val="5F5F60"/>
                                        <w:sz w:val="12"/>
                                      </w:rPr>
                                      <w:t>)</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F64265">
                                      <w:rPr>
                                        <w:rFonts w:ascii="Arial" w:eastAsia="Times New Roman" w:hAnsi="Arial" w:cs="Arial"/>
                                        <w:color w:val="5F5F60"/>
                                        <w:sz w:val="12"/>
                                        <w:szCs w:val="12"/>
                                        <w:lang w:val="bg-BG"/>
                                      </w:rPr>
                                      <w:t xml:space="preserve">направи преглед на стъпките от регламентираната процедура, предприети до момента при разработването на </w:t>
                                    </w:r>
                                    <w:r w:rsidR="00F64265" w:rsidRPr="00F64265">
                                      <w:rPr>
                                        <w:rFonts w:ascii="Arial" w:eastAsia="Times New Roman" w:hAnsi="Arial" w:cs="Arial"/>
                                        <w:i/>
                                        <w:iCs/>
                                        <w:color w:val="5F5F60"/>
                                        <w:sz w:val="12"/>
                                        <w:lang w:val="bg-BG"/>
                                      </w:rPr>
                                      <w:t>Концептуална</w:t>
                                    </w:r>
                                    <w:r w:rsidR="00F64265">
                                      <w:rPr>
                                        <w:rFonts w:ascii="Arial" w:eastAsia="Times New Roman" w:hAnsi="Arial" w:cs="Arial"/>
                                        <w:i/>
                                        <w:iCs/>
                                        <w:color w:val="5F5F60"/>
                                        <w:sz w:val="12"/>
                                        <w:lang w:val="bg-BG"/>
                                      </w:rPr>
                                      <w:t>та</w:t>
                                    </w:r>
                                    <w:r w:rsidR="00F64265" w:rsidRPr="00F64265">
                                      <w:rPr>
                                        <w:rFonts w:ascii="Arial" w:eastAsia="Times New Roman" w:hAnsi="Arial" w:cs="Arial"/>
                                        <w:i/>
                                        <w:iCs/>
                                        <w:color w:val="5F5F60"/>
                                        <w:sz w:val="12"/>
                                        <w:lang w:val="bg-BG"/>
                                      </w:rPr>
                                      <w:t xml:space="preserve"> рамка</w:t>
                                    </w:r>
                                    <w:r w:rsidR="00F64265" w:rsidRPr="00F64265">
                                      <w:rPr>
                                        <w:rFonts w:ascii="Arial" w:eastAsia="Times New Roman" w:hAnsi="Arial" w:cs="Arial"/>
                                        <w:i/>
                                        <w:iCs/>
                                        <w:color w:val="5F5F60"/>
                                        <w:sz w:val="12"/>
                                      </w:rPr>
                                      <w:t xml:space="preserve"> </w:t>
                                    </w:r>
                                    <w:r w:rsidR="00F64265">
                                      <w:rPr>
                                        <w:rFonts w:ascii="Arial" w:eastAsia="Times New Roman" w:hAnsi="Arial" w:cs="Arial"/>
                                        <w:color w:val="5F5F60"/>
                                        <w:sz w:val="12"/>
                                        <w:szCs w:val="12"/>
                                        <w:lang w:val="bg-BG"/>
                                      </w:rPr>
                                      <w:t>и разгледа критериите за представяне за повторно обсъждане, съдържащи се в</w:t>
                                    </w:r>
                                    <w:r w:rsidR="00531329" w:rsidRPr="00531329">
                                      <w:rPr>
                                        <w:rFonts w:ascii="Arial" w:eastAsia="Times New Roman" w:hAnsi="Arial" w:cs="Arial"/>
                                        <w:color w:val="5F5F60"/>
                                        <w:sz w:val="12"/>
                                        <w:szCs w:val="12"/>
                                      </w:rPr>
                                      <w:t xml:space="preserve"> </w:t>
                                    </w:r>
                                    <w:r w:rsidR="00E54E3B">
                                      <w:rPr>
                                        <w:rFonts w:ascii="Arial" w:eastAsia="Times New Roman" w:hAnsi="Arial" w:cs="Arial"/>
                                        <w:i/>
                                        <w:iCs/>
                                        <w:color w:val="5F5F60"/>
                                        <w:sz w:val="12"/>
                                        <w:lang w:val="bg-BG"/>
                                      </w:rPr>
                                      <w:t>Ръководство</w:t>
                                    </w:r>
                                    <w:r w:rsidR="00F64265">
                                      <w:rPr>
                                        <w:rFonts w:ascii="Arial" w:eastAsia="Times New Roman" w:hAnsi="Arial" w:cs="Arial"/>
                                        <w:i/>
                                        <w:iCs/>
                                        <w:color w:val="5F5F60"/>
                                        <w:sz w:val="12"/>
                                        <w:lang w:val="bg-BG"/>
                                      </w:rPr>
                                      <w:t>то</w:t>
                                    </w:r>
                                    <w:r w:rsidR="00E54E3B">
                                      <w:rPr>
                                        <w:rFonts w:ascii="Arial" w:eastAsia="Times New Roman" w:hAnsi="Arial" w:cs="Arial"/>
                                        <w:i/>
                                        <w:iCs/>
                                        <w:color w:val="5F5F60"/>
                                        <w:sz w:val="12"/>
                                        <w:lang w:val="bg-BG"/>
                                      </w:rPr>
                                      <w:t xml:space="preserve"> по регламентираната процедура</w:t>
                                    </w:r>
                                    <w:r w:rsidR="00531329" w:rsidRPr="00531329">
                                      <w:rPr>
                                        <w:rFonts w:ascii="Arial" w:eastAsia="Times New Roman" w:hAnsi="Arial" w:cs="Arial"/>
                                        <w:color w:val="5F5F60"/>
                                        <w:sz w:val="12"/>
                                        <w:szCs w:val="12"/>
                                      </w:rPr>
                                      <w:t>.</w:t>
                                    </w:r>
                                  </w:p>
                                  <w:p w:rsidR="00531329" w:rsidRPr="00531329" w:rsidRDefault="00F64265"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Всичките дванадесетима членове на Съвета</w:t>
                                    </w:r>
                                    <w:r w:rsidR="00531329" w:rsidRPr="00531329">
                                      <w:rPr>
                                        <w:rFonts w:ascii="Arial" w:eastAsia="Times New Roman" w:hAnsi="Arial" w:cs="Arial"/>
                                        <w:color w:val="5F5F60"/>
                                        <w:sz w:val="12"/>
                                        <w:szCs w:val="12"/>
                                      </w:rPr>
                                      <w:t xml:space="preserve"> </w:t>
                                    </w:r>
                                    <w:r w:rsidR="00695BFA">
                                      <w:rPr>
                                        <w:rFonts w:ascii="Arial" w:eastAsia="Times New Roman" w:hAnsi="Arial" w:cs="Arial"/>
                                        <w:color w:val="5F5F60"/>
                                        <w:sz w:val="12"/>
                                        <w:szCs w:val="12"/>
                                        <w:lang w:val="bg-BG"/>
                                      </w:rPr>
                                      <w:t>потвърдиха, че са се уверили, че Съветът е изпълнил всички необходими до момента стъпки от регламентираната процедура във връзка с проекта и дадоха указания на екипа да пристъпи към процедурата по гласуване</w:t>
                                    </w:r>
                                    <w:r w:rsidR="00531329" w:rsidRPr="00531329">
                                      <w:rPr>
                                        <w:rFonts w:ascii="Arial" w:eastAsia="Times New Roman" w:hAnsi="Arial" w:cs="Arial"/>
                                        <w:color w:val="5F5F60"/>
                                        <w:sz w:val="12"/>
                                        <w:szCs w:val="12"/>
                                      </w:rPr>
                                      <w:t xml:space="preserve">. </w:t>
                                    </w:r>
                                    <w:r w:rsidR="00695BFA">
                                      <w:rPr>
                                        <w:rFonts w:ascii="Arial" w:eastAsia="Times New Roman" w:hAnsi="Arial" w:cs="Arial"/>
                                        <w:color w:val="5F5F60"/>
                                        <w:sz w:val="12"/>
                                        <w:szCs w:val="12"/>
                                        <w:lang w:val="bg-BG"/>
                                      </w:rPr>
                                      <w:t xml:space="preserve">Нито един от членовете на Съвета не показа намерение да изрази несъгласие с публикуването на </w:t>
                                    </w:r>
                                    <w:r w:rsidR="00C860FF" w:rsidRPr="00C860FF">
                                      <w:rPr>
                                        <w:rFonts w:ascii="Arial" w:eastAsia="Times New Roman" w:hAnsi="Arial" w:cs="Arial"/>
                                        <w:color w:val="5F5F60"/>
                                        <w:sz w:val="12"/>
                                        <w:szCs w:val="12"/>
                                        <w:lang w:val="bg-BG"/>
                                      </w:rPr>
                                      <w:t>преработената</w:t>
                                    </w:r>
                                    <w:r w:rsidR="00C860FF" w:rsidRPr="00C860FF">
                                      <w:rPr>
                                        <w:rFonts w:ascii="Arial" w:eastAsia="Times New Roman" w:hAnsi="Arial" w:cs="Arial"/>
                                        <w:color w:val="5F5F60"/>
                                        <w:sz w:val="12"/>
                                        <w:szCs w:val="12"/>
                                      </w:rPr>
                                      <w:t xml:space="preserve"> </w:t>
                                    </w:r>
                                    <w:r w:rsidR="00C860FF" w:rsidRPr="00C860FF">
                                      <w:rPr>
                                        <w:rFonts w:ascii="Arial" w:eastAsia="Times New Roman" w:hAnsi="Arial" w:cs="Arial"/>
                                        <w:i/>
                                        <w:iCs/>
                                        <w:color w:val="5F5F60"/>
                                        <w:sz w:val="12"/>
                                        <w:szCs w:val="12"/>
                                        <w:lang w:val="bg-BG"/>
                                      </w:rPr>
                                      <w:t>Концептуална рамка</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Съветът реши в порядък на работна хипотеза</w:t>
                                    </w:r>
                                    <w:r w:rsidR="00695BFA">
                                      <w:rPr>
                                        <w:rFonts w:ascii="Arial" w:eastAsia="Times New Roman" w:hAnsi="Arial" w:cs="Arial"/>
                                        <w:color w:val="5F5F60"/>
                                        <w:sz w:val="12"/>
                                        <w:szCs w:val="12"/>
                                        <w:lang w:val="bg-BG"/>
                                      </w:rPr>
                                      <w:t>, че Съветът и Комитетът по разясненията ще започнат да използват</w:t>
                                    </w:r>
                                    <w:r w:rsidR="00531329" w:rsidRPr="00531329">
                                      <w:rPr>
                                        <w:rFonts w:ascii="Arial" w:eastAsia="Times New Roman" w:hAnsi="Arial" w:cs="Arial"/>
                                        <w:color w:val="5F5F60"/>
                                        <w:sz w:val="12"/>
                                        <w:szCs w:val="12"/>
                                      </w:rPr>
                                      <w:t xml:space="preserve"> </w:t>
                                    </w:r>
                                    <w:r w:rsidR="00C860FF" w:rsidRPr="00C860FF">
                                      <w:rPr>
                                        <w:rFonts w:ascii="Arial" w:eastAsia="Times New Roman" w:hAnsi="Arial" w:cs="Arial"/>
                                        <w:color w:val="5F5F60"/>
                                        <w:sz w:val="12"/>
                                        <w:szCs w:val="12"/>
                                        <w:lang w:val="bg-BG"/>
                                      </w:rPr>
                                      <w:t>преработената</w:t>
                                    </w:r>
                                    <w:r w:rsidR="00C860FF" w:rsidRPr="00C860FF">
                                      <w:rPr>
                                        <w:rFonts w:ascii="Arial" w:eastAsia="Times New Roman" w:hAnsi="Arial" w:cs="Arial"/>
                                        <w:color w:val="5F5F60"/>
                                        <w:sz w:val="12"/>
                                        <w:szCs w:val="12"/>
                                      </w:rPr>
                                      <w:t xml:space="preserve"> </w:t>
                                    </w:r>
                                    <w:r w:rsidR="00C860FF" w:rsidRPr="00C860FF">
                                      <w:rPr>
                                        <w:rFonts w:ascii="Arial" w:eastAsia="Times New Roman" w:hAnsi="Arial" w:cs="Arial"/>
                                        <w:i/>
                                        <w:iCs/>
                                        <w:color w:val="5F5F60"/>
                                        <w:sz w:val="12"/>
                                        <w:szCs w:val="12"/>
                                        <w:lang w:val="bg-BG"/>
                                      </w:rPr>
                                      <w:t>Концептуална рамка</w:t>
                                    </w:r>
                                    <w:r w:rsidR="00C860FF" w:rsidRPr="00C860FF">
                                      <w:rPr>
                                        <w:rFonts w:ascii="Arial" w:eastAsia="Times New Roman" w:hAnsi="Arial" w:cs="Arial"/>
                                        <w:color w:val="5F5F60"/>
                                        <w:sz w:val="12"/>
                                        <w:szCs w:val="12"/>
                                      </w:rPr>
                                      <w:t xml:space="preserve"> </w:t>
                                    </w:r>
                                    <w:r w:rsidR="00695BFA">
                                      <w:rPr>
                                        <w:rFonts w:ascii="Arial" w:eastAsia="Times New Roman" w:hAnsi="Arial" w:cs="Arial"/>
                                        <w:color w:val="5F5F60"/>
                                        <w:sz w:val="12"/>
                                        <w:szCs w:val="12"/>
                                        <w:lang w:val="bg-BG"/>
                                      </w:rPr>
                                      <w:t>веднага след издаването й</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bookmarkStart w:id="4" w:name="9"/>
                                    <w:r>
                                      <w:rPr>
                                        <w:rFonts w:ascii="Arial" w:eastAsia="Times New Roman" w:hAnsi="Arial" w:cs="Arial"/>
                                        <w:b/>
                                        <w:bCs/>
                                        <w:color w:val="40688E"/>
                                        <w:sz w:val="16"/>
                                        <w:szCs w:val="16"/>
                                        <w:lang w:val="bg-BG"/>
                                      </w:rPr>
                                      <w:t>Модификации и размяна на финансови пасиви</w:t>
                                    </w:r>
                                    <w:bookmarkEnd w:id="4"/>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12A)</w:t>
                                    </w:r>
                                  </w:p>
                                  <w:p w:rsidR="00531329" w:rsidRPr="00531329" w:rsidRDefault="0058650B"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разгледа неокончателното решение на Комитета по разясненията на</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„Комитетът по разясненията“</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да разработи проект на разяснение</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Параграф</w:t>
                                    </w:r>
                                    <w:r w:rsidR="00531329" w:rsidRPr="00531329">
                                      <w:rPr>
                                        <w:rFonts w:ascii="Arial" w:eastAsia="Times New Roman" w:hAnsi="Arial" w:cs="Arial"/>
                                        <w:color w:val="5F5F60"/>
                                        <w:sz w:val="12"/>
                                        <w:szCs w:val="12"/>
                                      </w:rPr>
                                      <w:t xml:space="preserve"> 7.10 </w:t>
                                    </w:r>
                                    <w:r w:rsidR="00E75D8E">
                                      <w:rPr>
                                        <w:rFonts w:ascii="Arial" w:eastAsia="Times New Roman" w:hAnsi="Arial" w:cs="Arial"/>
                                        <w:color w:val="5F5F60"/>
                                        <w:sz w:val="12"/>
                                        <w:szCs w:val="12"/>
                                        <w:lang w:val="bg-BG"/>
                                      </w:rPr>
                                      <w:t>от</w:t>
                                    </w:r>
                                    <w:r w:rsidR="00531329" w:rsidRPr="00531329">
                                      <w:rPr>
                                        <w:rFonts w:ascii="Arial" w:eastAsia="Times New Roman" w:hAnsi="Arial" w:cs="Arial"/>
                                        <w:color w:val="5F5F60"/>
                                        <w:sz w:val="12"/>
                                        <w:szCs w:val="12"/>
                                      </w:rPr>
                                      <w:t xml:space="preserve"> </w:t>
                                    </w:r>
                                    <w:r w:rsidR="001051B0">
                                      <w:rPr>
                                        <w:rFonts w:ascii="Arial" w:eastAsia="Times New Roman" w:hAnsi="Arial" w:cs="Arial"/>
                                        <w:i/>
                                        <w:iCs/>
                                        <w:color w:val="5F5F60"/>
                                        <w:sz w:val="12"/>
                                        <w:lang w:val="bg-BG"/>
                                      </w:rPr>
                                      <w:t>Ръководство</w:t>
                                    </w:r>
                                    <w:r w:rsidR="00E75D8E">
                                      <w:rPr>
                                        <w:rFonts w:ascii="Arial" w:eastAsia="Times New Roman" w:hAnsi="Arial" w:cs="Arial"/>
                                        <w:i/>
                                        <w:iCs/>
                                        <w:color w:val="5F5F60"/>
                                        <w:sz w:val="12"/>
                                        <w:lang w:val="bg-BG"/>
                                      </w:rPr>
                                      <w:t>то</w:t>
                                    </w:r>
                                    <w:r w:rsidR="001051B0">
                                      <w:rPr>
                                        <w:rFonts w:ascii="Arial" w:eastAsia="Times New Roman" w:hAnsi="Arial" w:cs="Arial"/>
                                        <w:i/>
                                        <w:iCs/>
                                        <w:color w:val="5F5F60"/>
                                        <w:sz w:val="12"/>
                                        <w:lang w:val="bg-BG"/>
                                      </w:rPr>
                                      <w:t xml:space="preserve"> по регламентираната процедура</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на Фондация МСФО изисква</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 xml:space="preserve">Съветът да прецени дали следва да бъде публикуван проект на Разяснение. Проектът на разяснение </w:t>
                                    </w:r>
                                    <w:r w:rsidR="000F320A">
                                      <w:rPr>
                                        <w:rFonts w:ascii="Arial" w:eastAsia="Times New Roman" w:hAnsi="Arial" w:cs="Arial"/>
                                        <w:color w:val="5F5F60"/>
                                        <w:sz w:val="12"/>
                                        <w:szCs w:val="12"/>
                                        <w:lang w:val="bg-BG"/>
                                      </w:rPr>
                                      <w:t>би имал</w:t>
                                    </w:r>
                                    <w:r w:rsidR="00E75D8E">
                                      <w:rPr>
                                        <w:rFonts w:ascii="Arial" w:eastAsia="Times New Roman" w:hAnsi="Arial" w:cs="Arial"/>
                                        <w:color w:val="5F5F60"/>
                                        <w:sz w:val="12"/>
                                        <w:szCs w:val="12"/>
                                        <w:lang w:val="bg-BG"/>
                                      </w:rPr>
                                      <w:t xml:space="preserve"> за цел да адресира модификации и размяна на финансови пасиви, оценени по амортизирана стойност, които не водят до отписване на финансовия пасив</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 xml:space="preserve">По време на заседанието си през ноември 2016 година </w:t>
                                    </w:r>
                                    <w:r w:rsidR="00E75D8E" w:rsidRPr="00E75D8E">
                                      <w:rPr>
                                        <w:rFonts w:ascii="Arial" w:eastAsia="Times New Roman" w:hAnsi="Arial" w:cs="Arial"/>
                                        <w:color w:val="5F5F60"/>
                                        <w:sz w:val="12"/>
                                        <w:szCs w:val="12"/>
                                        <w:lang w:val="bg-BG"/>
                                      </w:rPr>
                                      <w:t>Комитетът по разясненията</w:t>
                                    </w:r>
                                    <w:r w:rsidR="00E75D8E" w:rsidRPr="00E75D8E">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достигна до заключение, че изискванията в параграф</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Б</w:t>
                                    </w:r>
                                    <w:r w:rsidR="00531329" w:rsidRPr="00531329">
                                      <w:rPr>
                                        <w:rFonts w:ascii="Arial" w:eastAsia="Times New Roman" w:hAnsi="Arial" w:cs="Arial"/>
                                        <w:color w:val="5F5F60"/>
                                        <w:sz w:val="12"/>
                                        <w:szCs w:val="12"/>
                                      </w:rPr>
                                      <w:t xml:space="preserve">5.4.6 </w:t>
                                    </w:r>
                                    <w:r w:rsidR="00E75D8E">
                                      <w:rPr>
                                        <w:rFonts w:ascii="Arial" w:eastAsia="Times New Roman" w:hAnsi="Arial" w:cs="Arial"/>
                                        <w:color w:val="5F5F60"/>
                                        <w:sz w:val="12"/>
                                        <w:szCs w:val="12"/>
                                        <w:lang w:val="bg-BG"/>
                                      </w:rPr>
                                      <w:t>от</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1051B0">
                                      <w:rPr>
                                        <w:rFonts w:ascii="Arial" w:eastAsia="Times New Roman" w:hAnsi="Arial" w:cs="Arial"/>
                                        <w:i/>
                                        <w:iCs/>
                                        <w:color w:val="5F5F60"/>
                                        <w:sz w:val="12"/>
                                        <w:lang w:val="bg-BG"/>
                                      </w:rPr>
                                      <w:t>Финансови инструменти</w:t>
                                    </w:r>
                                    <w:r w:rsidR="001051B0"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са приложими по отношение на всички преразглеждания на приблизително оценените плащания и постъпления</w:t>
                                    </w:r>
                                    <w:r w:rsidR="00531329" w:rsidRPr="00531329">
                                      <w:rPr>
                                        <w:rFonts w:ascii="Arial" w:eastAsia="Times New Roman" w:hAnsi="Arial" w:cs="Arial"/>
                                        <w:color w:val="5F5F60"/>
                                        <w:sz w:val="12"/>
                                        <w:szCs w:val="12"/>
                                      </w:rPr>
                                      <w:t>—</w:t>
                                    </w:r>
                                    <w:r w:rsidR="00E75D8E">
                                      <w:rPr>
                                        <w:rFonts w:ascii="Arial" w:eastAsia="Times New Roman" w:hAnsi="Arial" w:cs="Arial"/>
                                        <w:color w:val="5F5F60"/>
                                        <w:sz w:val="12"/>
                                        <w:szCs w:val="12"/>
                                        <w:lang w:val="bg-BG"/>
                                      </w:rPr>
                                      <w:t>включително промени в паричните потоци, произтичащи от модификации или размяна на финансови активи и финансови пасиви, които не водят до отписване на финансовия актив или финансовия пасив. Това заключение е в съответствие с дефиницията на амортизирана стойност в Приложение</w:t>
                                    </w:r>
                                    <w:r w:rsidR="00531329" w:rsidRPr="00531329">
                                      <w:rPr>
                                        <w:rFonts w:ascii="Arial" w:eastAsia="Times New Roman" w:hAnsi="Arial" w:cs="Arial"/>
                                        <w:color w:val="5F5F60"/>
                                        <w:sz w:val="12"/>
                                        <w:szCs w:val="12"/>
                                      </w:rPr>
                                      <w:t xml:space="preserve"> A </w:t>
                                    </w:r>
                                    <w:r w:rsidR="00E75D8E">
                                      <w:rPr>
                                        <w:rFonts w:ascii="Arial" w:eastAsia="Times New Roman" w:hAnsi="Arial" w:cs="Arial"/>
                                        <w:color w:val="5F5F60"/>
                                        <w:sz w:val="12"/>
                                        <w:szCs w:val="12"/>
                                        <w:lang w:val="bg-BG"/>
                                      </w:rPr>
                                      <w:t>към</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E75D8E">
                                      <w:rPr>
                                        <w:rFonts w:ascii="Arial" w:eastAsia="Times New Roman" w:hAnsi="Arial" w:cs="Arial"/>
                                        <w:color w:val="5F5F60"/>
                                        <w:sz w:val="12"/>
                                        <w:szCs w:val="12"/>
                                        <w:lang w:val="bg-BG"/>
                                      </w:rPr>
                                      <w:t>Прилагайки параграф</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Б</w:t>
                                    </w:r>
                                    <w:r w:rsidR="00531329" w:rsidRPr="00531329">
                                      <w:rPr>
                                        <w:rFonts w:ascii="Arial" w:eastAsia="Times New Roman" w:hAnsi="Arial" w:cs="Arial"/>
                                        <w:color w:val="5F5F60"/>
                                        <w:sz w:val="12"/>
                                        <w:szCs w:val="12"/>
                                      </w:rPr>
                                      <w:t xml:space="preserve">5.4.6, </w:t>
                                    </w:r>
                                    <w:r w:rsidR="00E75D8E">
                                      <w:rPr>
                                        <w:rFonts w:ascii="Arial" w:eastAsia="Times New Roman" w:hAnsi="Arial" w:cs="Arial"/>
                                        <w:color w:val="5F5F60"/>
                                        <w:sz w:val="12"/>
                                        <w:szCs w:val="12"/>
                                        <w:lang w:val="bg-BG"/>
                                      </w:rPr>
                                      <w:t xml:space="preserve">предприятието </w:t>
                                    </w:r>
                                    <w:r w:rsidR="00E75D8E">
                                      <w:rPr>
                                        <w:rFonts w:ascii="Arial" w:eastAsia="Times New Roman" w:hAnsi="Arial" w:cs="Arial"/>
                                        <w:color w:val="5F5F60"/>
                                        <w:sz w:val="12"/>
                                        <w:szCs w:val="12"/>
                                        <w:lang w:val="bg-BG"/>
                                      </w:rPr>
                                      <w:lastRenderedPageBreak/>
                                      <w:t>преизчислява амортизираната стойност на модифицирания финансов пасив, като дисконтира модифицираните договорни парични потоци, използвайки първоначалния ефективен лихвен процент.</w:t>
                                    </w:r>
                                    <w:r w:rsidR="00531329" w:rsidRPr="00531329">
                                      <w:rPr>
                                        <w:rFonts w:ascii="Arial" w:eastAsia="Times New Roman" w:hAnsi="Arial" w:cs="Arial"/>
                                        <w:color w:val="5F5F60"/>
                                        <w:sz w:val="12"/>
                                        <w:szCs w:val="12"/>
                                      </w:rPr>
                                      <w:t xml:space="preserve"> </w:t>
                                    </w:r>
                                    <w:r w:rsidR="00E75D8E">
                                      <w:rPr>
                                        <w:rFonts w:ascii="Arial" w:eastAsia="Times New Roman" w:hAnsi="Arial" w:cs="Arial"/>
                                        <w:color w:val="5F5F60"/>
                                        <w:sz w:val="12"/>
                                        <w:szCs w:val="12"/>
                                        <w:lang w:val="bg-BG"/>
                                      </w:rPr>
                                      <w:t xml:space="preserve">Предприятието признава </w:t>
                                    </w:r>
                                    <w:r w:rsidR="000F320A">
                                      <w:rPr>
                                        <w:rFonts w:ascii="Arial" w:eastAsia="Times New Roman" w:hAnsi="Arial" w:cs="Arial"/>
                                        <w:color w:val="5F5F60"/>
                                        <w:sz w:val="12"/>
                                        <w:szCs w:val="12"/>
                                        <w:lang w:val="bg-BG"/>
                                      </w:rPr>
                                      <w:t xml:space="preserve">всяка </w:t>
                                    </w:r>
                                    <w:r w:rsidR="00E75D8E">
                                      <w:rPr>
                                        <w:rFonts w:ascii="Arial" w:eastAsia="Times New Roman" w:hAnsi="Arial" w:cs="Arial"/>
                                        <w:color w:val="5F5F60"/>
                                        <w:sz w:val="12"/>
                                        <w:szCs w:val="12"/>
                                        <w:lang w:val="bg-BG"/>
                                      </w:rPr>
                                      <w:t>корекция</w:t>
                                    </w:r>
                                    <w:r w:rsidR="000F320A">
                                      <w:rPr>
                                        <w:rFonts w:ascii="Arial" w:eastAsia="Times New Roman" w:hAnsi="Arial" w:cs="Arial"/>
                                        <w:color w:val="5F5F60"/>
                                        <w:sz w:val="12"/>
                                        <w:szCs w:val="12"/>
                                        <w:lang w:val="bg-BG"/>
                                      </w:rPr>
                                      <w:t xml:space="preserve"> на амортизираната стойност на финансовия пасив в печалбата или загубата като приход или разход към датата на модифицирането или размяната</w:t>
                                    </w:r>
                                    <w:r w:rsidR="00531329" w:rsidRPr="00531329">
                                      <w:rPr>
                                        <w:rFonts w:ascii="Arial" w:eastAsia="Times New Roman" w:hAnsi="Arial" w:cs="Arial"/>
                                        <w:color w:val="5F5F60"/>
                                        <w:sz w:val="12"/>
                                        <w:szCs w:val="12"/>
                                      </w:rPr>
                                      <w:t>.</w:t>
                                    </w:r>
                                  </w:p>
                                  <w:p w:rsidR="00531329" w:rsidRPr="00531329" w:rsidRDefault="001C70B9" w:rsidP="00531329">
                                    <w:pPr>
                                      <w:spacing w:after="0" w:line="180" w:lineRule="atLeast"/>
                                      <w:ind w:right="50"/>
                                      <w:rPr>
                                        <w:rFonts w:ascii="Arial" w:eastAsia="Times New Roman" w:hAnsi="Arial" w:cs="Arial"/>
                                        <w:color w:val="5F5F60"/>
                                        <w:sz w:val="12"/>
                                        <w:szCs w:val="12"/>
                                      </w:rPr>
                                    </w:pPr>
                                    <w:r w:rsidRPr="000F320A">
                                      <w:rPr>
                                        <w:rFonts w:ascii="Arial" w:eastAsia="Times New Roman" w:hAnsi="Arial" w:cs="Arial"/>
                                        <w:color w:val="5F5F60"/>
                                        <w:sz w:val="12"/>
                                        <w:szCs w:val="12"/>
                                        <w:lang w:val="bg-BG"/>
                                      </w:rPr>
                                      <w:t>Всичките дванадесетима членове на Съвета изразиха съгласие</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с направените от</w:t>
                                    </w:r>
                                    <w:r w:rsidR="00E75D8E" w:rsidRPr="00E75D8E">
                                      <w:rPr>
                                        <w:rFonts w:ascii="Arial" w:eastAsia="Times New Roman" w:hAnsi="Arial" w:cs="Arial"/>
                                        <w:color w:val="5F5F60"/>
                                        <w:sz w:val="12"/>
                                        <w:szCs w:val="12"/>
                                        <w:lang w:val="bg-BG"/>
                                      </w:rPr>
                                      <w:t xml:space="preserve"> Комитет</w:t>
                                    </w:r>
                                    <w:r w:rsidR="000F320A">
                                      <w:rPr>
                                        <w:rFonts w:ascii="Arial" w:eastAsia="Times New Roman" w:hAnsi="Arial" w:cs="Arial"/>
                                        <w:color w:val="5F5F60"/>
                                        <w:sz w:val="12"/>
                                        <w:szCs w:val="12"/>
                                        <w:lang w:val="bg-BG"/>
                                      </w:rPr>
                                      <w:t>а</w:t>
                                    </w:r>
                                    <w:r w:rsidR="00E75D8E" w:rsidRPr="00E75D8E">
                                      <w:rPr>
                                        <w:rFonts w:ascii="Arial" w:eastAsia="Times New Roman" w:hAnsi="Arial" w:cs="Arial"/>
                                        <w:color w:val="5F5F60"/>
                                        <w:sz w:val="12"/>
                                        <w:szCs w:val="12"/>
                                        <w:lang w:val="bg-BG"/>
                                      </w:rPr>
                                      <w:t xml:space="preserve"> по разясненията</w:t>
                                    </w:r>
                                    <w:r w:rsidR="00E75D8E" w:rsidRPr="00E75D8E">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технически заключения във връзка с този въпрос</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Съветът обаче изрази опасения относно издаването на проект на Разяснение при тези обстоятелства</w:t>
                                    </w:r>
                                    <w:r w:rsidR="00531329" w:rsidRPr="00531329">
                                      <w:rPr>
                                        <w:rFonts w:ascii="Arial" w:eastAsia="Times New Roman" w:hAnsi="Arial" w:cs="Arial"/>
                                        <w:color w:val="5F5F60"/>
                                        <w:sz w:val="12"/>
                                        <w:szCs w:val="12"/>
                                      </w:rPr>
                                      <w:t xml:space="preserve">. </w:t>
                                    </w:r>
                                    <w:r w:rsidR="00700A6E">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достигна до заключение, че принципите и изискванията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0F320A">
                                      <w:rPr>
                                        <w:rFonts w:ascii="Arial" w:eastAsia="Times New Roman" w:hAnsi="Arial" w:cs="Arial"/>
                                        <w:color w:val="5F5F60"/>
                                        <w:sz w:val="12"/>
                                        <w:szCs w:val="12"/>
                                        <w:lang w:val="bg-BG"/>
                                      </w:rPr>
                                      <w:t>предоставят адекватна база за предприятието, за да може то да отчита счетоводно модификации и размени на финансови пасиви</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Съответно</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 xml:space="preserve">един </w:t>
                                    </w:r>
                                    <w:r w:rsidR="000F320A" w:rsidRPr="000F320A">
                                      <w:rPr>
                                        <w:rFonts w:ascii="Arial" w:eastAsia="Times New Roman" w:hAnsi="Arial" w:cs="Arial"/>
                                        <w:color w:val="5F5F60"/>
                                        <w:sz w:val="12"/>
                                        <w:szCs w:val="12"/>
                                        <w:lang w:val="bg-BG"/>
                                      </w:rPr>
                                      <w:t xml:space="preserve">проект на Разяснение </w:t>
                                    </w:r>
                                    <w:r w:rsidR="000F320A">
                                      <w:rPr>
                                        <w:rFonts w:ascii="Arial" w:eastAsia="Times New Roman" w:hAnsi="Arial" w:cs="Arial"/>
                                        <w:color w:val="5F5F60"/>
                                        <w:sz w:val="12"/>
                                        <w:szCs w:val="12"/>
                                        <w:lang w:val="bg-BG"/>
                                      </w:rPr>
                                      <w:t>би бил използван основно като средство за открояване на счетоводното отчитане, което вече се изисква от</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700A6E">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F320A" w:rsidRPr="000F320A">
                                      <w:rPr>
                                        <w:rFonts w:ascii="Arial" w:eastAsia="Times New Roman" w:hAnsi="Arial" w:cs="Arial"/>
                                        <w:color w:val="5F5F60"/>
                                        <w:sz w:val="12"/>
                                        <w:szCs w:val="12"/>
                                        <w:lang w:val="bg-BG"/>
                                      </w:rPr>
                                      <w:t>достигна до заключение, че</w:t>
                                    </w:r>
                                    <w:r w:rsidR="000F320A">
                                      <w:rPr>
                                        <w:rFonts w:ascii="Arial" w:eastAsia="Times New Roman" w:hAnsi="Arial" w:cs="Arial"/>
                                        <w:color w:val="5F5F60"/>
                                        <w:sz w:val="12"/>
                                        <w:szCs w:val="12"/>
                                        <w:lang w:val="bg-BG"/>
                                      </w:rPr>
                                      <w:t xml:space="preserve"> в тази ситуация процес по изготвяне и въвеждане на стандарти не е необходим. Имайки все пак предвид важността на въпроса, следва да бъдат използвани други средства за открояване на съответното счетоводно отчитане</w:t>
                                    </w:r>
                                    <w:r w:rsidR="00531329" w:rsidRPr="00531329">
                                      <w:rPr>
                                        <w:rFonts w:ascii="Arial" w:eastAsia="Times New Roman" w:hAnsi="Arial" w:cs="Arial"/>
                                        <w:color w:val="5F5F60"/>
                                        <w:sz w:val="12"/>
                                        <w:szCs w:val="12"/>
                                      </w:rPr>
                                      <w:t>.</w:t>
                                    </w:r>
                                  </w:p>
                                  <w:p w:rsidR="00531329" w:rsidRPr="00531329" w:rsidRDefault="000F320A"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В резултат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Съветът се противопостави на издаването на проект на Разяснение</w:t>
                                    </w:r>
                                    <w:r w:rsidR="00531329" w:rsidRPr="00531329">
                                      <w:rPr>
                                        <w:rFonts w:ascii="Arial" w:eastAsia="Times New Roman" w:hAnsi="Arial" w:cs="Arial"/>
                                        <w:color w:val="5F5F60"/>
                                        <w:sz w:val="12"/>
                                        <w:szCs w:val="12"/>
                                      </w:rPr>
                                      <w:t xml:space="preserve">. </w:t>
                                    </w:r>
                                    <w:r w:rsidR="001C70B9">
                                      <w:rPr>
                                        <w:rFonts w:ascii="Arial" w:eastAsia="Times New Roman" w:hAnsi="Arial" w:cs="Arial"/>
                                        <w:color w:val="5F5F60"/>
                                        <w:sz w:val="12"/>
                                        <w:szCs w:val="12"/>
                                      </w:rPr>
                                      <w:t>Всичките дванадесетима членове на Съвета изразиха съгласие с това решение</w:t>
                                    </w:r>
                                    <w:r w:rsidR="00531329" w:rsidRPr="00531329">
                                      <w:rPr>
                                        <w:rFonts w:ascii="Arial" w:eastAsia="Times New Roman" w:hAnsi="Arial" w:cs="Arial"/>
                                        <w:color w:val="5F5F60"/>
                                        <w:sz w:val="12"/>
                                        <w:szCs w:val="12"/>
                                      </w:rPr>
                                      <w:t>.</w:t>
                                    </w:r>
                                  </w:p>
                                  <w:p w:rsidR="00531329" w:rsidRPr="00531329" w:rsidRDefault="001051B0" w:rsidP="00531329">
                                    <w:pPr>
                                      <w:spacing w:after="0" w:line="180" w:lineRule="atLeast"/>
                                      <w:ind w:right="50"/>
                                      <w:rPr>
                                        <w:rFonts w:ascii="Arial" w:eastAsia="Times New Roman" w:hAnsi="Arial" w:cs="Arial"/>
                                        <w:color w:val="5F5F60"/>
                                        <w:sz w:val="12"/>
                                        <w:szCs w:val="12"/>
                                      </w:rPr>
                                    </w:pPr>
                                    <w:r>
                                      <w:rPr>
                                        <w:rFonts w:ascii="Arial" w:eastAsia="Times New Roman" w:hAnsi="Arial" w:cs="Arial"/>
                                        <w:b/>
                                        <w:bCs/>
                                        <w:i/>
                                        <w:iCs/>
                                        <w:color w:val="5F5F60"/>
                                        <w:sz w:val="12"/>
                                      </w:rPr>
                                      <w:t>Следващи етапи</w:t>
                                    </w:r>
                                  </w:p>
                                  <w:p w:rsidR="00531329" w:rsidRPr="00531329" w:rsidRDefault="00700A6E"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препоръча</w:t>
                                    </w:r>
                                    <w:r w:rsidR="00531329" w:rsidRPr="00531329">
                                      <w:rPr>
                                        <w:rFonts w:ascii="Arial" w:eastAsia="Times New Roman" w:hAnsi="Arial" w:cs="Arial"/>
                                        <w:color w:val="5F5F60"/>
                                        <w:sz w:val="12"/>
                                        <w:szCs w:val="12"/>
                                      </w:rPr>
                                      <w:t xml:space="preserve"> </w:t>
                                    </w:r>
                                    <w:r w:rsidR="00E75D8E" w:rsidRPr="00E75D8E">
                                      <w:rPr>
                                        <w:rFonts w:ascii="Arial" w:eastAsia="Times New Roman" w:hAnsi="Arial" w:cs="Arial"/>
                                        <w:color w:val="5F5F60"/>
                                        <w:sz w:val="12"/>
                                        <w:szCs w:val="12"/>
                                        <w:lang w:val="bg-BG"/>
                                      </w:rPr>
                                      <w:t>Комитетът по разясненията</w:t>
                                    </w:r>
                                    <w:r w:rsidR="00E75D8E" w:rsidRPr="00E75D8E">
                                      <w:rPr>
                                        <w:rFonts w:ascii="Arial" w:eastAsia="Times New Roman" w:hAnsi="Arial" w:cs="Arial"/>
                                        <w:color w:val="5F5F60"/>
                                        <w:sz w:val="12"/>
                                        <w:szCs w:val="12"/>
                                      </w:rPr>
                                      <w:t xml:space="preserve"> </w:t>
                                    </w:r>
                                    <w:r w:rsidR="000F320A">
                                      <w:rPr>
                                        <w:rFonts w:ascii="Arial" w:eastAsia="Times New Roman" w:hAnsi="Arial" w:cs="Arial"/>
                                        <w:color w:val="5F5F60"/>
                                        <w:sz w:val="12"/>
                                        <w:szCs w:val="12"/>
                                        <w:lang w:val="bg-BG"/>
                                      </w:rPr>
                                      <w:t>да предложи решение във връзка с образователната програма, фокусиращо се върху този въпрос</w:t>
                                    </w:r>
                                    <w:r w:rsidR="00971DF8">
                                      <w:rPr>
                                        <w:rFonts w:ascii="Arial" w:eastAsia="Times New Roman" w:hAnsi="Arial" w:cs="Arial"/>
                                        <w:color w:val="5F5F60"/>
                                        <w:sz w:val="12"/>
                                        <w:szCs w:val="12"/>
                                        <w:lang w:val="bg-BG"/>
                                      </w:rPr>
                                      <w:t>, което би пояснило счетоводното отчитане на модификации и размени на финансови пасиви, които не водят до отписване, прилагайки</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sidR="00971DF8">
                                      <w:rPr>
                                        <w:rFonts w:ascii="Arial" w:eastAsia="Times New Roman" w:hAnsi="Arial" w:cs="Arial"/>
                                        <w:color w:val="5F5F60"/>
                                        <w:sz w:val="12"/>
                                        <w:szCs w:val="12"/>
                                        <w:lang w:val="bg-BG"/>
                                      </w:rPr>
                                      <w:t>ще разгледа и други начини за открояване на този въпрос – например, в рамките на уебкаст</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E54E3B" w:rsidP="00531329">
                                    <w:pPr>
                                      <w:spacing w:after="240" w:line="180" w:lineRule="atLeast"/>
                                      <w:ind w:right="50"/>
                                      <w:rPr>
                                        <w:rFonts w:ascii="Arial" w:eastAsia="Times New Roman" w:hAnsi="Arial" w:cs="Arial"/>
                                        <w:color w:val="5F5F60"/>
                                        <w:sz w:val="12"/>
                                        <w:szCs w:val="12"/>
                                      </w:rPr>
                                    </w:pPr>
                                    <w:bookmarkStart w:id="5" w:name="10"/>
                                    <w:r>
                                      <w:rPr>
                                        <w:rFonts w:ascii="Arial" w:eastAsia="Times New Roman" w:hAnsi="Arial" w:cs="Arial"/>
                                        <w:b/>
                                        <w:bCs/>
                                        <w:color w:val="40688E"/>
                                        <w:sz w:val="16"/>
                                        <w:szCs w:val="16"/>
                                        <w:lang w:val="bg-BG"/>
                                      </w:rPr>
                                      <w:t xml:space="preserve">Въпроси, свързани с прилагането на </w:t>
                                    </w:r>
                                    <w:r w:rsidR="001051B0">
                                      <w:rPr>
                                        <w:rFonts w:ascii="Arial" w:eastAsia="Times New Roman" w:hAnsi="Arial" w:cs="Arial"/>
                                        <w:b/>
                                        <w:bCs/>
                                        <w:color w:val="40688E"/>
                                        <w:sz w:val="16"/>
                                        <w:szCs w:val="16"/>
                                      </w:rPr>
                                      <w:t>МСФО</w:t>
                                    </w:r>
                                    <w:r w:rsidR="00531329" w:rsidRPr="00531329">
                                      <w:rPr>
                                        <w:rFonts w:ascii="Arial" w:eastAsia="Times New Roman" w:hAnsi="Arial" w:cs="Arial"/>
                                        <w:b/>
                                        <w:bCs/>
                                        <w:color w:val="40688E"/>
                                        <w:sz w:val="16"/>
                                        <w:szCs w:val="16"/>
                                      </w:rPr>
                                      <w:t>—</w:t>
                                    </w:r>
                                    <w:r w:rsidR="001051B0">
                                      <w:rPr>
                                        <w:rFonts w:ascii="Arial" w:eastAsia="Times New Roman" w:hAnsi="Arial" w:cs="Arial"/>
                                        <w:b/>
                                        <w:bCs/>
                                        <w:color w:val="40688E"/>
                                        <w:sz w:val="16"/>
                                        <w:szCs w:val="16"/>
                                      </w:rPr>
                                      <w:t>МСФО</w:t>
                                    </w:r>
                                    <w:r w:rsidR="00531329" w:rsidRPr="00531329">
                                      <w:rPr>
                                        <w:rFonts w:ascii="Arial" w:eastAsia="Times New Roman" w:hAnsi="Arial" w:cs="Arial"/>
                                        <w:b/>
                                        <w:bCs/>
                                        <w:color w:val="40688E"/>
                                        <w:sz w:val="16"/>
                                        <w:szCs w:val="16"/>
                                      </w:rPr>
                                      <w:t xml:space="preserve"> 9 </w:t>
                                    </w:r>
                                    <w:bookmarkEnd w:id="5"/>
                                    <w:r>
                                      <w:rPr>
                                        <w:rFonts w:ascii="Arial" w:eastAsia="Times New Roman" w:hAnsi="Arial" w:cs="Arial"/>
                                        <w:b/>
                                        <w:bCs/>
                                        <w:color w:val="40688E"/>
                                        <w:sz w:val="16"/>
                                        <w:szCs w:val="16"/>
                                        <w:lang w:val="bg-BG"/>
                                      </w:rPr>
                                      <w:t>Обезценка</w:t>
                                    </w:r>
                                    <w:r w:rsidR="00531329" w:rsidRPr="00531329">
                                      <w:rPr>
                                        <w:rFonts w:ascii="Arial" w:eastAsia="Times New Roman" w:hAnsi="Arial" w:cs="Arial"/>
                                        <w:b/>
                                        <w:bCs/>
                                        <w:color w:val="40688E"/>
                                        <w:sz w:val="16"/>
                                        <w:szCs w:val="16"/>
                                      </w:rPr>
                                      <w:t xml:space="preserve"> (</w:t>
                                    </w:r>
                                    <w:r w:rsidR="001051B0">
                                      <w:rPr>
                                        <w:rFonts w:ascii="Arial" w:eastAsia="Times New Roman" w:hAnsi="Arial" w:cs="Arial"/>
                                        <w:b/>
                                        <w:bCs/>
                                        <w:color w:val="40688E"/>
                                        <w:sz w:val="16"/>
                                        <w:szCs w:val="16"/>
                                      </w:rPr>
                                      <w:t>Документ по програмата</w:t>
                                    </w:r>
                                    <w:r w:rsidR="00531329" w:rsidRPr="00531329">
                                      <w:rPr>
                                        <w:rFonts w:ascii="Arial" w:eastAsia="Times New Roman" w:hAnsi="Arial" w:cs="Arial"/>
                                        <w:b/>
                                        <w:bCs/>
                                        <w:color w:val="40688E"/>
                                        <w:sz w:val="16"/>
                                        <w:szCs w:val="16"/>
                                      </w:rPr>
                                      <w:t xml:space="preserve"> 12</w:t>
                                    </w:r>
                                    <w:r w:rsidR="00105E58">
                                      <w:rPr>
                                        <w:rFonts w:ascii="Arial" w:eastAsia="Times New Roman" w:hAnsi="Arial" w:cs="Arial"/>
                                        <w:b/>
                                        <w:bCs/>
                                        <w:color w:val="40688E"/>
                                        <w:sz w:val="16"/>
                                        <w:szCs w:val="16"/>
                                        <w:lang w:val="bg-BG"/>
                                      </w:rPr>
                                      <w:t>Б</w:t>
                                    </w:r>
                                    <w:r w:rsidR="00531329" w:rsidRPr="00531329">
                                      <w:rPr>
                                        <w:rFonts w:ascii="Arial" w:eastAsia="Times New Roman" w:hAnsi="Arial" w:cs="Arial"/>
                                        <w:b/>
                                        <w:bCs/>
                                        <w:color w:val="40688E"/>
                                        <w:sz w:val="16"/>
                                        <w:szCs w:val="16"/>
                                      </w:rPr>
                                      <w:t>)</w:t>
                                    </w:r>
                                  </w:p>
                                  <w:p w:rsidR="00531329" w:rsidRPr="00531329" w:rsidRDefault="0058650B"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На 22 февруари 2017 г. Съветът проведе заседание, за да</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обсъди</w:t>
                                    </w:r>
                                    <w:r w:rsidR="00531329" w:rsidRPr="00531329">
                                      <w:rPr>
                                        <w:rFonts w:ascii="Arial" w:eastAsia="Times New Roman" w:hAnsi="Arial" w:cs="Arial"/>
                                        <w:color w:val="5F5F60"/>
                                        <w:sz w:val="12"/>
                                        <w:szCs w:val="12"/>
                                      </w:rPr>
                                      <w:t xml:space="preserve"> </w:t>
                                    </w:r>
                                    <w:r w:rsidR="00971DF8">
                                      <w:rPr>
                                        <w:rFonts w:ascii="Arial" w:eastAsia="Times New Roman" w:hAnsi="Arial" w:cs="Arial"/>
                                        <w:color w:val="5F5F60"/>
                                        <w:sz w:val="12"/>
                                        <w:szCs w:val="12"/>
                                        <w:lang w:val="bg-BG"/>
                                      </w:rPr>
                                      <w:t>въпрос във връзка с прилагането, отнасящ се до изискването за обезценка в параграф</w:t>
                                    </w:r>
                                    <w:r w:rsidR="00531329" w:rsidRPr="00531329">
                                      <w:rPr>
                                        <w:rFonts w:ascii="Arial" w:eastAsia="Times New Roman" w:hAnsi="Arial" w:cs="Arial"/>
                                        <w:color w:val="5F5F60"/>
                                        <w:sz w:val="12"/>
                                        <w:szCs w:val="12"/>
                                      </w:rPr>
                                      <w:t xml:space="preserve"> </w:t>
                                    </w:r>
                                    <w:r w:rsidR="00971DF8">
                                      <w:rPr>
                                        <w:rFonts w:ascii="Arial" w:eastAsia="Times New Roman" w:hAnsi="Arial" w:cs="Arial"/>
                                        <w:color w:val="5F5F60"/>
                                        <w:sz w:val="12"/>
                                        <w:szCs w:val="12"/>
                                        <w:lang w:val="bg-BG"/>
                                      </w:rPr>
                                      <w:t>Б</w:t>
                                    </w:r>
                                    <w:r w:rsidR="00531329" w:rsidRPr="00531329">
                                      <w:rPr>
                                        <w:rFonts w:ascii="Arial" w:eastAsia="Times New Roman" w:hAnsi="Arial" w:cs="Arial"/>
                                        <w:color w:val="5F5F60"/>
                                        <w:sz w:val="12"/>
                                        <w:szCs w:val="12"/>
                                      </w:rPr>
                                      <w:t>5.5.40(</w:t>
                                    </w:r>
                                    <w:r w:rsidR="00971DF8">
                                      <w:rPr>
                                        <w:rFonts w:ascii="Arial" w:eastAsia="Times New Roman" w:hAnsi="Arial" w:cs="Arial"/>
                                        <w:color w:val="5F5F60"/>
                                        <w:sz w:val="12"/>
                                        <w:szCs w:val="12"/>
                                        <w:lang w:val="bg-BG"/>
                                      </w:rPr>
                                      <w:t>в</w:t>
                                    </w:r>
                                    <w:r w:rsidR="00531329" w:rsidRPr="00531329">
                                      <w:rPr>
                                        <w:rFonts w:ascii="Arial" w:eastAsia="Times New Roman" w:hAnsi="Arial" w:cs="Arial"/>
                                        <w:color w:val="5F5F60"/>
                                        <w:sz w:val="12"/>
                                        <w:szCs w:val="12"/>
                                      </w:rPr>
                                      <w:t xml:space="preserve">) </w:t>
                                    </w:r>
                                    <w:r w:rsidR="00971DF8">
                                      <w:rPr>
                                        <w:rFonts w:ascii="Arial" w:eastAsia="Times New Roman" w:hAnsi="Arial" w:cs="Arial"/>
                                        <w:color w:val="5F5F60"/>
                                        <w:sz w:val="12"/>
                                        <w:szCs w:val="12"/>
                                        <w:lang w:val="bg-BG"/>
                                      </w:rPr>
                                      <w:t>от</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sidR="001051B0">
                                      <w:rPr>
                                        <w:rFonts w:ascii="Arial" w:eastAsia="Times New Roman" w:hAnsi="Arial" w:cs="Arial"/>
                                        <w:i/>
                                        <w:iCs/>
                                        <w:color w:val="5F5F60"/>
                                        <w:sz w:val="12"/>
                                        <w:lang w:val="bg-BG"/>
                                      </w:rPr>
                                      <w:t>Финансови инструменти</w:t>
                                    </w:r>
                                    <w:r w:rsidR="00531329" w:rsidRPr="00531329">
                                      <w:rPr>
                                        <w:rFonts w:ascii="Arial" w:eastAsia="Times New Roman" w:hAnsi="Arial" w:cs="Arial"/>
                                        <w:color w:val="5F5F60"/>
                                        <w:sz w:val="12"/>
                                        <w:szCs w:val="12"/>
                                      </w:rPr>
                                      <w:t xml:space="preserve">. </w:t>
                                    </w:r>
                                    <w:r w:rsidR="00971DF8">
                                      <w:rPr>
                                        <w:rFonts w:ascii="Arial" w:eastAsia="Times New Roman" w:hAnsi="Arial" w:cs="Arial"/>
                                        <w:color w:val="5F5F60"/>
                                        <w:sz w:val="12"/>
                                        <w:szCs w:val="12"/>
                                        <w:lang w:val="bg-BG"/>
                                      </w:rPr>
                                      <w:t>Параграфът се отнася до изискването, при определяне периода на експозиция към кредитен риск за определен вид финансови инструменти, като кредитни карти, да бъдат взети под внимание очакваните действия по управление на кредитния риск</w:t>
                                    </w:r>
                                    <w:r w:rsidR="00531329" w:rsidRPr="00531329">
                                      <w:rPr>
                                        <w:rFonts w:ascii="Arial" w:eastAsia="Times New Roman" w:hAnsi="Arial" w:cs="Arial"/>
                                        <w:color w:val="5F5F60"/>
                                        <w:sz w:val="12"/>
                                        <w:szCs w:val="12"/>
                                      </w:rPr>
                                      <w:t>.</w:t>
                                    </w:r>
                                  </w:p>
                                  <w:p w:rsidR="00531329" w:rsidRPr="00531329" w:rsidRDefault="00971DF8"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Дискусията препотвърди приложимите изисквания в</w:t>
                                    </w:r>
                                    <w:r w:rsidR="00531329" w:rsidRPr="00531329">
                                      <w:rPr>
                                        <w:rFonts w:ascii="Arial" w:eastAsia="Times New Roman" w:hAnsi="Arial" w:cs="Arial"/>
                                        <w:color w:val="5F5F60"/>
                                        <w:sz w:val="12"/>
                                        <w:szCs w:val="12"/>
                                      </w:rPr>
                                      <w:t xml:space="preserve"> </w:t>
                                    </w:r>
                                    <w:r w:rsidR="001051B0">
                                      <w:rPr>
                                        <w:rFonts w:ascii="Arial" w:eastAsia="Times New Roman" w:hAnsi="Arial" w:cs="Arial"/>
                                        <w:color w:val="5F5F60"/>
                                        <w:sz w:val="12"/>
                                        <w:szCs w:val="12"/>
                                      </w:rPr>
                                      <w:t>МСФО</w:t>
                                    </w:r>
                                    <w:r w:rsidR="00531329" w:rsidRPr="00531329">
                                      <w:rPr>
                                        <w:rFonts w:ascii="Arial" w:eastAsia="Times New Roman" w:hAnsi="Arial" w:cs="Arial"/>
                                        <w:color w:val="5F5F60"/>
                                        <w:sz w:val="12"/>
                                        <w:szCs w:val="12"/>
                                      </w:rPr>
                                      <w:t xml:space="preserve"> 9 </w:t>
                                    </w:r>
                                    <w:r>
                                      <w:rPr>
                                        <w:rFonts w:ascii="Arial" w:eastAsia="Times New Roman" w:hAnsi="Arial" w:cs="Arial"/>
                                        <w:color w:val="5F5F60"/>
                                        <w:sz w:val="12"/>
                                        <w:szCs w:val="12"/>
                                        <w:lang w:val="bg-BG"/>
                                      </w:rPr>
                                      <w:t>и наблюденията, отбелязани по време на заседанията на Експертната група по въпросите на обезценката на финансови инструменти</w:t>
                                    </w:r>
                                    <w:r w:rsidR="00531329" w:rsidRPr="00531329">
                                      <w:rPr>
                                        <w:rFonts w:ascii="Arial" w:eastAsia="Times New Roman" w:hAnsi="Arial" w:cs="Arial"/>
                                        <w:color w:val="5F5F60"/>
                                        <w:sz w:val="12"/>
                                        <w:szCs w:val="12"/>
                                      </w:rPr>
                                      <w:t xml:space="preserve">. </w:t>
                                    </w:r>
                                    <w:r w:rsidR="00700A6E">
                                      <w:rPr>
                                        <w:rFonts w:ascii="Arial" w:eastAsia="Times New Roman" w:hAnsi="Arial" w:cs="Arial"/>
                                        <w:color w:val="5F5F60"/>
                                        <w:sz w:val="12"/>
                                        <w:szCs w:val="12"/>
                                      </w:rPr>
                                      <w:t>Съветът</w:t>
                                    </w:r>
                                    <w:r w:rsidR="00531329" w:rsidRPr="00531329">
                                      <w:rPr>
                                        <w:rFonts w:ascii="Arial" w:eastAsia="Times New Roman" w:hAnsi="Arial" w:cs="Arial"/>
                                        <w:color w:val="5F5F60"/>
                                        <w:sz w:val="12"/>
                                        <w:szCs w:val="12"/>
                                      </w:rPr>
                                      <w:t xml:space="preserve"> </w:t>
                                    </w:r>
                                    <w:r>
                                      <w:rPr>
                                        <w:rFonts w:ascii="Arial" w:eastAsia="Times New Roman" w:hAnsi="Arial" w:cs="Arial"/>
                                        <w:color w:val="5F5F60"/>
                                        <w:sz w:val="12"/>
                                        <w:szCs w:val="12"/>
                                        <w:lang w:val="bg-BG"/>
                                      </w:rPr>
                                      <w:t>бе информиран също така и за намерението на екипа да разработи при необходимост материали за обучение във връзка с този въпрос и други предизвикателства във връзка с прилагането на стандарта</w:t>
                                    </w:r>
                                    <w:r w:rsidR="00531329" w:rsidRPr="00531329">
                                      <w:rPr>
                                        <w:rFonts w:ascii="Arial" w:eastAsia="Times New Roman" w:hAnsi="Arial" w:cs="Arial"/>
                                        <w:color w:val="5F5F60"/>
                                        <w:sz w:val="12"/>
                                        <w:szCs w:val="12"/>
                                      </w:rPr>
                                      <w:t>.</w:t>
                                    </w:r>
                                  </w:p>
                                  <w:p w:rsidR="00531329" w:rsidRPr="00531329" w:rsidRDefault="0058650B" w:rsidP="00531329">
                                    <w:pPr>
                                      <w:spacing w:after="0" w:line="180" w:lineRule="atLeast"/>
                                      <w:ind w:right="50"/>
                                      <w:rPr>
                                        <w:rFonts w:ascii="Arial" w:eastAsia="Times New Roman" w:hAnsi="Arial" w:cs="Arial"/>
                                        <w:color w:val="5F5F60"/>
                                        <w:sz w:val="12"/>
                                        <w:szCs w:val="12"/>
                                      </w:rPr>
                                    </w:pPr>
                                    <w:r>
                                      <w:rPr>
                                        <w:rFonts w:ascii="Arial" w:eastAsia="Times New Roman" w:hAnsi="Arial" w:cs="Arial"/>
                                        <w:color w:val="5F5F60"/>
                                        <w:sz w:val="12"/>
                                        <w:szCs w:val="12"/>
                                        <w:lang w:val="bg-BG"/>
                                      </w:rPr>
                                      <w:t>От Съвета не бе поискано да взема решения</w:t>
                                    </w:r>
                                    <w:r w:rsidR="00531329" w:rsidRPr="00531329">
                                      <w:rPr>
                                        <w:rFonts w:ascii="Arial" w:eastAsia="Times New Roman" w:hAnsi="Arial" w:cs="Arial"/>
                                        <w:color w:val="5F5F60"/>
                                        <w:sz w:val="12"/>
                                        <w:szCs w:val="12"/>
                                      </w:rPr>
                                      <w:t>.</w:t>
                                    </w:r>
                                  </w:p>
                                  <w:p w:rsidR="00531329" w:rsidRPr="00531329" w:rsidRDefault="00531329" w:rsidP="00531329">
                                    <w:pPr>
                                      <w:spacing w:after="240" w:line="180" w:lineRule="atLeast"/>
                                      <w:ind w:right="50"/>
                                      <w:rPr>
                                        <w:rFonts w:ascii="Times New Roman" w:eastAsia="Times New Roman" w:hAnsi="Times New Roman" w:cs="Times New Roman"/>
                                        <w:color w:val="5F5F60"/>
                                        <w:sz w:val="12"/>
                                        <w:szCs w:val="12"/>
                                      </w:rPr>
                                    </w:pPr>
                                    <w:r w:rsidRPr="00531329">
                                      <w:rPr>
                                        <w:rFonts w:ascii="Arial" w:eastAsia="Times New Roman" w:hAnsi="Arial" w:cs="Arial"/>
                                        <w:color w:val="5F5F60"/>
                                        <w:sz w:val="12"/>
                                        <w:szCs w:val="12"/>
                                      </w:rPr>
                                      <w:br/>
                                    </w:r>
                                  </w:p>
                                  <w:p w:rsidR="00531329" w:rsidRPr="00531329" w:rsidRDefault="001051B0" w:rsidP="00531329">
                                    <w:pPr>
                                      <w:spacing w:after="240" w:line="180" w:lineRule="atLeast"/>
                                      <w:ind w:right="50"/>
                                      <w:rPr>
                                        <w:rFonts w:ascii="Times New Roman" w:eastAsia="Times New Roman" w:hAnsi="Times New Roman" w:cs="Times New Roman"/>
                                        <w:sz w:val="24"/>
                                        <w:szCs w:val="24"/>
                                      </w:rPr>
                                    </w:pPr>
                                    <w:r>
                                      <w:rPr>
                                        <w:rFonts w:ascii="Arial" w:eastAsia="Times New Roman" w:hAnsi="Arial" w:cs="Arial"/>
                                        <w:b/>
                                        <w:bCs/>
                                        <w:color w:val="40688E"/>
                                        <w:sz w:val="16"/>
                                        <w:szCs w:val="16"/>
                                        <w:lang w:val="bg-BG"/>
                                      </w:rPr>
                                      <w:t>Работна програма</w:t>
                                    </w:r>
                                    <w:r w:rsidR="00531329" w:rsidRPr="00531329">
                                      <w:rPr>
                                        <w:rFonts w:ascii="Arial" w:eastAsia="Times New Roman" w:hAnsi="Arial" w:cs="Arial"/>
                                        <w:b/>
                                        <w:bCs/>
                                        <w:color w:val="40688E"/>
                                        <w:sz w:val="16"/>
                                        <w:szCs w:val="16"/>
                                      </w:rPr>
                                      <w:t>—</w:t>
                                    </w:r>
                                    <w:r>
                                      <w:rPr>
                                        <w:rFonts w:ascii="Arial" w:eastAsia="Times New Roman" w:hAnsi="Arial" w:cs="Arial"/>
                                        <w:b/>
                                        <w:bCs/>
                                        <w:color w:val="40688E"/>
                                        <w:sz w:val="16"/>
                                        <w:szCs w:val="16"/>
                                        <w:lang w:val="bg-BG"/>
                                      </w:rPr>
                                      <w:t>прогнозни цели към 27 февруари 2017 година</w:t>
                                    </w:r>
                                    <w:r w:rsidR="00531329" w:rsidRPr="00531329">
                                      <w:rPr>
                                        <w:rFonts w:ascii="Times New Roman" w:eastAsia="Times New Roman" w:hAnsi="Times New Roman" w:cs="Times New Roman"/>
                                        <w:sz w:val="24"/>
                                        <w:szCs w:val="24"/>
                                      </w:rPr>
                                      <w:br/>
                                    </w:r>
                                  </w:p>
                                  <w:p w:rsidR="00531329" w:rsidRPr="00531329" w:rsidRDefault="001051B0" w:rsidP="001051B0">
                                    <w:pPr>
                                      <w:spacing w:after="0" w:line="180" w:lineRule="atLeast"/>
                                      <w:ind w:right="50"/>
                                      <w:rPr>
                                        <w:rFonts w:ascii="Arial" w:eastAsia="Times New Roman" w:hAnsi="Arial" w:cs="Arial"/>
                                        <w:color w:val="5F5F60"/>
                                        <w:sz w:val="12"/>
                                        <w:szCs w:val="12"/>
                                      </w:rPr>
                                    </w:pPr>
                                    <w:r w:rsidRPr="001051B0">
                                      <w:rPr>
                                        <w:rFonts w:ascii="Arial" w:eastAsia="Times New Roman" w:hAnsi="Arial" w:cs="Arial"/>
                                        <w:color w:val="5F5F60"/>
                                        <w:sz w:val="12"/>
                                        <w:szCs w:val="12"/>
                                        <w:lang w:val="bg-BG"/>
                                      </w:rPr>
                                      <w:t xml:space="preserve">Работната програма, отразяваща решенията, взети на това заседание е актуализирана на уебсайта на Съвета по международни счетоводни стандарти (IASB) на </w:t>
                                    </w:r>
                                    <w:r w:rsidR="00531329" w:rsidRPr="00531329">
                                      <w:rPr>
                                        <w:rFonts w:ascii="Arial" w:eastAsia="Times New Roman" w:hAnsi="Arial" w:cs="Arial"/>
                                        <w:color w:val="5F5F60"/>
                                        <w:sz w:val="12"/>
                                        <w:szCs w:val="12"/>
                                      </w:rPr>
                                      <w:t xml:space="preserve">27 </w:t>
                                    </w:r>
                                    <w:r>
                                      <w:rPr>
                                        <w:rFonts w:ascii="Arial" w:eastAsia="Times New Roman" w:hAnsi="Arial" w:cs="Arial"/>
                                        <w:color w:val="5F5F60"/>
                                        <w:sz w:val="12"/>
                                        <w:szCs w:val="12"/>
                                        <w:lang w:val="bg-BG"/>
                                      </w:rPr>
                                      <w:t>февруари</w:t>
                                    </w:r>
                                    <w:r w:rsidR="00531329" w:rsidRPr="00531329">
                                      <w:rPr>
                                        <w:rFonts w:ascii="Arial" w:eastAsia="Times New Roman" w:hAnsi="Arial" w:cs="Arial"/>
                                        <w:color w:val="5F5F60"/>
                                        <w:sz w:val="12"/>
                                        <w:szCs w:val="12"/>
                                      </w:rPr>
                                      <w:t xml:space="preserve"> 2017</w:t>
                                    </w:r>
                                    <w:r>
                                      <w:rPr>
                                        <w:rFonts w:ascii="Arial" w:eastAsia="Times New Roman" w:hAnsi="Arial" w:cs="Arial"/>
                                        <w:color w:val="5F5F60"/>
                                        <w:sz w:val="12"/>
                                        <w:szCs w:val="12"/>
                                        <w:lang w:val="bg-BG"/>
                                      </w:rPr>
                                      <w:t xml:space="preserve"> г</w:t>
                                    </w:r>
                                    <w:r w:rsidR="00531329" w:rsidRPr="00531329">
                                      <w:rPr>
                                        <w:rFonts w:ascii="Arial" w:eastAsia="Times New Roman" w:hAnsi="Arial" w:cs="Arial"/>
                                        <w:color w:val="5F5F60"/>
                                        <w:sz w:val="12"/>
                                        <w:szCs w:val="12"/>
                                      </w:rPr>
                                      <w:t xml:space="preserve">. </w:t>
                                    </w:r>
                                    <w:hyperlink r:id="rId7" w:history="1">
                                      <w:r>
                                        <w:rPr>
                                          <w:rFonts w:ascii="Arial" w:eastAsia="Times New Roman" w:hAnsi="Arial" w:cs="Arial"/>
                                          <w:b/>
                                          <w:bCs/>
                                          <w:color w:val="40688E"/>
                                          <w:sz w:val="12"/>
                                          <w:lang w:val="bg-BG"/>
                                        </w:rPr>
                                        <w:t>Вижте я тук</w:t>
                                      </w:r>
                                    </w:hyperlink>
                                    <w:r w:rsidR="00531329" w:rsidRPr="00531329">
                                      <w:rPr>
                                        <w:rFonts w:ascii="Arial" w:eastAsia="Times New Roman" w:hAnsi="Arial" w:cs="Arial"/>
                                        <w:color w:val="5F5F60"/>
                                        <w:sz w:val="12"/>
                                        <w:szCs w:val="12"/>
                                      </w:rPr>
                                      <w:t>.</w:t>
                                    </w:r>
                                  </w:p>
                                </w:tc>
                              </w:tr>
                            </w:tbl>
                            <w:p w:rsidR="00531329" w:rsidRPr="00531329" w:rsidRDefault="00531329" w:rsidP="00531329">
                              <w:pPr>
                                <w:spacing w:after="240" w:line="240" w:lineRule="auto"/>
                                <w:ind w:right="50"/>
                                <w:rPr>
                                  <w:rFonts w:ascii="Helvetica" w:eastAsia="Times New Roman" w:hAnsi="Helvetica" w:cs="Helvetica"/>
                                  <w:sz w:val="24"/>
                                  <w:szCs w:val="24"/>
                                </w:rPr>
                              </w:pPr>
                              <w:r w:rsidRPr="00531329">
                                <w:rPr>
                                  <w:rFonts w:ascii="Helvetica" w:eastAsia="Times New Roman" w:hAnsi="Helvetica" w:cs="Helvetica"/>
                                  <w:sz w:val="24"/>
                                  <w:szCs w:val="24"/>
                                </w:rPr>
                                <w:lastRenderedPageBreak/>
                                <w:br/>
                              </w:r>
                            </w:p>
                          </w:tc>
                        </w:tr>
                      </w:tbl>
                      <w:p w:rsidR="00531329" w:rsidRPr="00531329" w:rsidRDefault="00531329" w:rsidP="00531329">
                        <w:pPr>
                          <w:spacing w:after="0" w:line="240" w:lineRule="auto"/>
                          <w:ind w:right="50"/>
                          <w:rPr>
                            <w:rFonts w:ascii="Times New Roman" w:eastAsia="Times New Roman" w:hAnsi="Times New Roman" w:cs="Times New Roman"/>
                            <w:sz w:val="24"/>
                            <w:szCs w:val="24"/>
                          </w:rPr>
                        </w:pPr>
                      </w:p>
                    </w:tc>
                  </w:tr>
                </w:tbl>
                <w:p w:rsidR="00531329" w:rsidRPr="00531329" w:rsidRDefault="00531329" w:rsidP="00531329">
                  <w:pPr>
                    <w:spacing w:after="0" w:line="240" w:lineRule="auto"/>
                    <w:ind w:right="50"/>
                    <w:rPr>
                      <w:rFonts w:ascii="Times New Roman" w:eastAsia="Times New Roman" w:hAnsi="Times New Roman" w:cs="Times New Roman"/>
                      <w:sz w:val="24"/>
                      <w:szCs w:val="24"/>
                    </w:rPr>
                  </w:pPr>
                </w:p>
              </w:tc>
            </w:tr>
            <w:tr w:rsidR="00531329" w:rsidRPr="00531329" w:rsidTr="00531329">
              <w:trPr>
                <w:tblCellSpacing w:w="0" w:type="dxa"/>
                <w:jc w:val="center"/>
              </w:trPr>
              <w:tc>
                <w:tcPr>
                  <w:tcW w:w="9639" w:type="dxa"/>
                  <w:shd w:val="clear" w:color="auto" w:fill="B9D4E5"/>
                  <w:tcMar>
                    <w:top w:w="100" w:type="dxa"/>
                    <w:left w:w="100" w:type="dxa"/>
                    <w:bottom w:w="100" w:type="dxa"/>
                    <w:right w:w="100" w:type="dxa"/>
                  </w:tcMar>
                  <w:vAlign w:val="center"/>
                  <w:hideMark/>
                </w:tcPr>
                <w:p w:rsidR="00531329" w:rsidRPr="00531329" w:rsidRDefault="001051B0" w:rsidP="00EB114D">
                  <w:pPr>
                    <w:spacing w:after="0" w:line="240" w:lineRule="auto"/>
                    <w:ind w:left="159" w:right="50"/>
                    <w:rPr>
                      <w:rFonts w:ascii="Arial" w:eastAsia="Times New Roman" w:hAnsi="Arial" w:cs="Arial"/>
                      <w:color w:val="5F5F60"/>
                      <w:sz w:val="10"/>
                      <w:szCs w:val="10"/>
                    </w:rPr>
                  </w:pPr>
                  <w:r w:rsidRPr="001051B0">
                    <w:rPr>
                      <w:rFonts w:ascii="Arial" w:eastAsia="Times New Roman" w:hAnsi="Arial" w:cs="Arial"/>
                      <w:color w:val="5F5F60"/>
                      <w:sz w:val="10"/>
                      <w:szCs w:val="10"/>
                      <w:lang w:val="bg-BG"/>
                    </w:rPr>
                    <w:lastRenderedPageBreak/>
                    <w:t>Моля отбележете, че информацията, публикувана в настоящия бюлетин произхожда от различни източници и е точна, доколкото това ни е известно. Съветът по международни счетоводни стандарти и Фондация МСФО обаче не носят отговорност за загуби, причинени на лице, което предприема действия или се въздържа от предприемането на действия, разчитайки на материалите в настоящата публикация, независимо дали тези загуби са причинени поради небрежност, или по друг начин</w:t>
                  </w:r>
                  <w:r w:rsidR="00531329" w:rsidRPr="00531329">
                    <w:rPr>
                      <w:rFonts w:ascii="Arial" w:eastAsia="Times New Roman" w:hAnsi="Arial" w:cs="Arial"/>
                      <w:color w:val="5F5F60"/>
                      <w:sz w:val="10"/>
                      <w:szCs w:val="10"/>
                    </w:rPr>
                    <w:t>.</w:t>
                  </w:r>
                </w:p>
              </w:tc>
            </w:tr>
          </w:tbl>
          <w:p w:rsidR="001051B0" w:rsidRPr="001051B0" w:rsidRDefault="001051B0" w:rsidP="001051B0">
            <w:pPr>
              <w:spacing w:after="0" w:line="240" w:lineRule="auto"/>
              <w:ind w:right="50"/>
              <w:jc w:val="center"/>
              <w:rPr>
                <w:rFonts w:ascii="Arial" w:eastAsia="Times New Roman" w:hAnsi="Arial" w:cs="Arial"/>
                <w:color w:val="5F5F60"/>
                <w:sz w:val="12"/>
                <w:szCs w:val="12"/>
                <w:lang w:val="bg-BG"/>
              </w:rPr>
            </w:pPr>
            <w:r w:rsidRPr="001051B0">
              <w:rPr>
                <w:rFonts w:ascii="Arial" w:eastAsia="Times New Roman" w:hAnsi="Arial" w:cs="Arial"/>
                <w:color w:val="5F5F60"/>
                <w:sz w:val="12"/>
                <w:szCs w:val="12"/>
                <w:lang w:val="bg-BG"/>
              </w:rPr>
              <w:t>Copyright © МСФО Foundation</w:t>
            </w:r>
            <w:r w:rsidRPr="001051B0">
              <w:rPr>
                <w:rFonts w:ascii="Arial" w:eastAsia="Times New Roman" w:hAnsi="Arial" w:cs="Arial"/>
                <w:color w:val="5F5F60"/>
                <w:sz w:val="12"/>
                <w:szCs w:val="12"/>
                <w:lang w:val="bg-BG"/>
              </w:rPr>
              <w:br/>
              <w:t>ISSN 1474-2675</w:t>
            </w:r>
          </w:p>
          <w:p w:rsidR="001051B0" w:rsidRPr="001051B0" w:rsidRDefault="001051B0" w:rsidP="001051B0">
            <w:pPr>
              <w:spacing w:after="0" w:line="240" w:lineRule="auto"/>
              <w:ind w:right="50"/>
              <w:jc w:val="center"/>
              <w:rPr>
                <w:rFonts w:ascii="Arial" w:eastAsia="Times New Roman" w:hAnsi="Arial" w:cs="Arial"/>
                <w:color w:val="5F5F60"/>
                <w:sz w:val="12"/>
                <w:szCs w:val="12"/>
                <w:lang w:val="bg-BG"/>
              </w:rPr>
            </w:pPr>
            <w:r w:rsidRPr="001051B0">
              <w:rPr>
                <w:rFonts w:ascii="Arial" w:eastAsia="Times New Roman" w:hAnsi="Arial" w:cs="Arial"/>
                <w:color w:val="5F5F60"/>
                <w:sz w:val="12"/>
                <w:szCs w:val="12"/>
                <w:lang w:val="bg-BG"/>
              </w:rPr>
              <w:t>Авторски права© Фондация МСФО</w:t>
            </w:r>
          </w:p>
          <w:p w:rsidR="00531329" w:rsidRPr="00531329" w:rsidRDefault="001051B0" w:rsidP="001051B0">
            <w:pPr>
              <w:spacing w:after="0" w:line="240" w:lineRule="auto"/>
              <w:ind w:right="50"/>
              <w:jc w:val="center"/>
              <w:rPr>
                <w:rFonts w:ascii="Arial" w:eastAsia="Times New Roman" w:hAnsi="Arial" w:cs="Arial"/>
                <w:color w:val="5F5F60"/>
                <w:sz w:val="12"/>
                <w:szCs w:val="12"/>
              </w:rPr>
            </w:pPr>
            <w:r w:rsidRPr="001051B0">
              <w:rPr>
                <w:rFonts w:ascii="Arial" w:eastAsia="Times New Roman" w:hAnsi="Arial" w:cs="Arial"/>
                <w:color w:val="5F5F60"/>
                <w:sz w:val="12"/>
                <w:szCs w:val="12"/>
                <w:lang w:val="bg-BG"/>
              </w:rPr>
              <w:t>ISSN 1474-2675</w:t>
            </w:r>
          </w:p>
        </w:tc>
      </w:tr>
    </w:tbl>
    <w:p w:rsidR="00D06B47" w:rsidRDefault="00D06B47" w:rsidP="00531329">
      <w:pPr>
        <w:ind w:right="50"/>
      </w:pPr>
    </w:p>
    <w:sectPr w:rsidR="00D06B47" w:rsidSect="00D06B4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230D"/>
    <w:multiLevelType w:val="multilevel"/>
    <w:tmpl w:val="83D27EA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F537DD3"/>
    <w:multiLevelType w:val="multilevel"/>
    <w:tmpl w:val="F20EB4B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9618DD"/>
    <w:multiLevelType w:val="multilevel"/>
    <w:tmpl w:val="D90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277F8"/>
    <w:multiLevelType w:val="multilevel"/>
    <w:tmpl w:val="78C455F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1D0501"/>
    <w:multiLevelType w:val="multilevel"/>
    <w:tmpl w:val="B9E400C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863A37"/>
    <w:multiLevelType w:val="multilevel"/>
    <w:tmpl w:val="D98EB3A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DA655E9"/>
    <w:multiLevelType w:val="multilevel"/>
    <w:tmpl w:val="14B0F808"/>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8F1111E"/>
    <w:multiLevelType w:val="multilevel"/>
    <w:tmpl w:val="D1AE8B9E"/>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F3E41D7"/>
    <w:multiLevelType w:val="multilevel"/>
    <w:tmpl w:val="BB229A7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31329"/>
    <w:rsid w:val="00005213"/>
    <w:rsid w:val="000620A2"/>
    <w:rsid w:val="00067998"/>
    <w:rsid w:val="000F320A"/>
    <w:rsid w:val="001051B0"/>
    <w:rsid w:val="00105E58"/>
    <w:rsid w:val="0014557B"/>
    <w:rsid w:val="00146CBB"/>
    <w:rsid w:val="00170663"/>
    <w:rsid w:val="00196B91"/>
    <w:rsid w:val="001C70B9"/>
    <w:rsid w:val="001E491A"/>
    <w:rsid w:val="003631F2"/>
    <w:rsid w:val="00424D1B"/>
    <w:rsid w:val="00466C6B"/>
    <w:rsid w:val="00531329"/>
    <w:rsid w:val="0058650B"/>
    <w:rsid w:val="005943A2"/>
    <w:rsid w:val="00695BFA"/>
    <w:rsid w:val="006C3650"/>
    <w:rsid w:val="00700A6E"/>
    <w:rsid w:val="007E262C"/>
    <w:rsid w:val="00893B24"/>
    <w:rsid w:val="008E3151"/>
    <w:rsid w:val="00971DF8"/>
    <w:rsid w:val="009A095A"/>
    <w:rsid w:val="00A42F3D"/>
    <w:rsid w:val="00AC591F"/>
    <w:rsid w:val="00B058FF"/>
    <w:rsid w:val="00BA302D"/>
    <w:rsid w:val="00C860FF"/>
    <w:rsid w:val="00CA78E9"/>
    <w:rsid w:val="00CC3C0E"/>
    <w:rsid w:val="00D06B47"/>
    <w:rsid w:val="00D25120"/>
    <w:rsid w:val="00D4255A"/>
    <w:rsid w:val="00E54E3B"/>
    <w:rsid w:val="00E64A3F"/>
    <w:rsid w:val="00E75D8E"/>
    <w:rsid w:val="00EB114D"/>
    <w:rsid w:val="00EB2813"/>
    <w:rsid w:val="00F36A94"/>
    <w:rsid w:val="00F535C3"/>
    <w:rsid w:val="00F64265"/>
    <w:rsid w:val="00F9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32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329"/>
    <w:rPr>
      <w:i/>
      <w:iCs/>
    </w:rPr>
  </w:style>
  <w:style w:type="character" w:styleId="Hyperlink">
    <w:name w:val="Hyperlink"/>
    <w:basedOn w:val="DefaultParagraphFont"/>
    <w:uiPriority w:val="99"/>
    <w:semiHidden/>
    <w:unhideWhenUsed/>
    <w:rsid w:val="00531329"/>
    <w:rPr>
      <w:color w:val="0000FF"/>
      <w:u w:val="single"/>
    </w:rPr>
  </w:style>
  <w:style w:type="character" w:styleId="Strong">
    <w:name w:val="Strong"/>
    <w:basedOn w:val="DefaultParagraphFont"/>
    <w:uiPriority w:val="22"/>
    <w:qFormat/>
    <w:rsid w:val="00531329"/>
    <w:rPr>
      <w:b/>
      <w:bCs/>
    </w:rPr>
  </w:style>
  <w:style w:type="paragraph" w:styleId="BalloonText">
    <w:name w:val="Balloon Text"/>
    <w:basedOn w:val="Normal"/>
    <w:link w:val="BalloonTextChar"/>
    <w:uiPriority w:val="99"/>
    <w:semiHidden/>
    <w:unhideWhenUsed/>
    <w:rsid w:val="0053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843721">
      <w:bodyDiv w:val="1"/>
      <w:marLeft w:val="0"/>
      <w:marRight w:val="0"/>
      <w:marTop w:val="0"/>
      <w:marBottom w:val="0"/>
      <w:divBdr>
        <w:top w:val="none" w:sz="0" w:space="0" w:color="auto"/>
        <w:left w:val="none" w:sz="0" w:space="0" w:color="auto"/>
        <w:bottom w:val="none" w:sz="0" w:space="0" w:color="auto"/>
        <w:right w:val="none" w:sz="0" w:space="0" w:color="auto"/>
      </w:divBdr>
      <w:divsChild>
        <w:div w:id="1379665694">
          <w:marLeft w:val="0"/>
          <w:marRight w:val="0"/>
          <w:marTop w:val="0"/>
          <w:marBottom w:val="0"/>
          <w:divBdr>
            <w:top w:val="none" w:sz="0" w:space="0" w:color="auto"/>
            <w:left w:val="none" w:sz="0" w:space="0" w:color="auto"/>
            <w:bottom w:val="none" w:sz="0" w:space="0" w:color="auto"/>
            <w:right w:val="none" w:sz="0" w:space="0" w:color="auto"/>
          </w:divBdr>
          <w:divsChild>
            <w:div w:id="826899153">
              <w:marLeft w:val="0"/>
              <w:marRight w:val="0"/>
              <w:marTop w:val="0"/>
              <w:marBottom w:val="0"/>
              <w:divBdr>
                <w:top w:val="none" w:sz="0" w:space="0" w:color="auto"/>
                <w:left w:val="none" w:sz="0" w:space="0" w:color="auto"/>
                <w:bottom w:val="none" w:sz="0" w:space="0" w:color="auto"/>
                <w:right w:val="none" w:sz="0" w:space="0" w:color="auto"/>
              </w:divBdr>
              <w:divsChild>
                <w:div w:id="1267343863">
                  <w:marLeft w:val="0"/>
                  <w:marRight w:val="0"/>
                  <w:marTop w:val="0"/>
                  <w:marBottom w:val="0"/>
                  <w:divBdr>
                    <w:top w:val="none" w:sz="0" w:space="0" w:color="auto"/>
                    <w:left w:val="none" w:sz="0" w:space="0" w:color="auto"/>
                    <w:bottom w:val="none" w:sz="0" w:space="0" w:color="auto"/>
                    <w:right w:val="none" w:sz="0" w:space="0" w:color="auto"/>
                  </w:divBdr>
                  <w:divsChild>
                    <w:div w:id="1689794212">
                      <w:marLeft w:val="0"/>
                      <w:marRight w:val="0"/>
                      <w:marTop w:val="0"/>
                      <w:marBottom w:val="0"/>
                      <w:divBdr>
                        <w:top w:val="none" w:sz="0" w:space="0" w:color="auto"/>
                        <w:left w:val="none" w:sz="0" w:space="0" w:color="auto"/>
                        <w:bottom w:val="none" w:sz="0" w:space="0" w:color="auto"/>
                        <w:right w:val="none" w:sz="0" w:space="0" w:color="auto"/>
                      </w:divBdr>
                    </w:div>
                  </w:divsChild>
                </w:div>
                <w:div w:id="915893193">
                  <w:marLeft w:val="0"/>
                  <w:marRight w:val="0"/>
                  <w:marTop w:val="0"/>
                  <w:marBottom w:val="0"/>
                  <w:divBdr>
                    <w:top w:val="none" w:sz="0" w:space="0" w:color="auto"/>
                    <w:left w:val="none" w:sz="0" w:space="0" w:color="auto"/>
                    <w:bottom w:val="none" w:sz="0" w:space="0" w:color="auto"/>
                    <w:right w:val="none" w:sz="0" w:space="0" w:color="auto"/>
                  </w:divBdr>
                  <w:divsChild>
                    <w:div w:id="1875578726">
                      <w:marLeft w:val="0"/>
                      <w:marRight w:val="0"/>
                      <w:marTop w:val="0"/>
                      <w:marBottom w:val="0"/>
                      <w:divBdr>
                        <w:top w:val="none" w:sz="0" w:space="0" w:color="auto"/>
                        <w:left w:val="none" w:sz="0" w:space="0" w:color="auto"/>
                        <w:bottom w:val="none" w:sz="0" w:space="0" w:color="auto"/>
                        <w:right w:val="none" w:sz="0" w:space="0" w:color="auto"/>
                      </w:divBdr>
                    </w:div>
                    <w:div w:id="309408901">
                      <w:marLeft w:val="0"/>
                      <w:marRight w:val="0"/>
                      <w:marTop w:val="0"/>
                      <w:marBottom w:val="0"/>
                      <w:divBdr>
                        <w:top w:val="none" w:sz="0" w:space="0" w:color="auto"/>
                        <w:left w:val="none" w:sz="0" w:space="0" w:color="auto"/>
                        <w:bottom w:val="none" w:sz="0" w:space="0" w:color="auto"/>
                        <w:right w:val="none" w:sz="0" w:space="0" w:color="auto"/>
                      </w:divBdr>
                    </w:div>
                    <w:div w:id="2111049995">
                      <w:marLeft w:val="0"/>
                      <w:marRight w:val="0"/>
                      <w:marTop w:val="0"/>
                      <w:marBottom w:val="0"/>
                      <w:divBdr>
                        <w:top w:val="none" w:sz="0" w:space="0" w:color="auto"/>
                        <w:left w:val="none" w:sz="0" w:space="0" w:color="auto"/>
                        <w:bottom w:val="none" w:sz="0" w:space="0" w:color="auto"/>
                        <w:right w:val="none" w:sz="0" w:space="0" w:color="auto"/>
                      </w:divBdr>
                    </w:div>
                    <w:div w:id="1372731316">
                      <w:marLeft w:val="0"/>
                      <w:marRight w:val="0"/>
                      <w:marTop w:val="0"/>
                      <w:marBottom w:val="0"/>
                      <w:divBdr>
                        <w:top w:val="none" w:sz="0" w:space="0" w:color="auto"/>
                        <w:left w:val="none" w:sz="0" w:space="0" w:color="auto"/>
                        <w:bottom w:val="none" w:sz="0" w:space="0" w:color="auto"/>
                        <w:right w:val="none" w:sz="0" w:space="0" w:color="auto"/>
                      </w:divBdr>
                    </w:div>
                    <w:div w:id="1654749990">
                      <w:marLeft w:val="0"/>
                      <w:marRight w:val="0"/>
                      <w:marTop w:val="0"/>
                      <w:marBottom w:val="0"/>
                      <w:divBdr>
                        <w:top w:val="none" w:sz="0" w:space="0" w:color="auto"/>
                        <w:left w:val="none" w:sz="0" w:space="0" w:color="auto"/>
                        <w:bottom w:val="none" w:sz="0" w:space="0" w:color="auto"/>
                        <w:right w:val="none" w:sz="0" w:space="0" w:color="auto"/>
                      </w:divBdr>
                    </w:div>
                    <w:div w:id="269244140">
                      <w:marLeft w:val="0"/>
                      <w:marRight w:val="0"/>
                      <w:marTop w:val="0"/>
                      <w:marBottom w:val="0"/>
                      <w:divBdr>
                        <w:top w:val="none" w:sz="0" w:space="0" w:color="auto"/>
                        <w:left w:val="none" w:sz="0" w:space="0" w:color="auto"/>
                        <w:bottom w:val="none" w:sz="0" w:space="0" w:color="auto"/>
                        <w:right w:val="none" w:sz="0" w:space="0" w:color="auto"/>
                      </w:divBdr>
                    </w:div>
                    <w:div w:id="1759325439">
                      <w:marLeft w:val="0"/>
                      <w:marRight w:val="0"/>
                      <w:marTop w:val="0"/>
                      <w:marBottom w:val="0"/>
                      <w:divBdr>
                        <w:top w:val="none" w:sz="0" w:space="0" w:color="auto"/>
                        <w:left w:val="none" w:sz="0" w:space="0" w:color="auto"/>
                        <w:bottom w:val="none" w:sz="0" w:space="0" w:color="auto"/>
                        <w:right w:val="none" w:sz="0" w:space="0" w:color="auto"/>
                      </w:divBdr>
                    </w:div>
                    <w:div w:id="654139509">
                      <w:marLeft w:val="0"/>
                      <w:marRight w:val="0"/>
                      <w:marTop w:val="0"/>
                      <w:marBottom w:val="0"/>
                      <w:divBdr>
                        <w:top w:val="none" w:sz="0" w:space="0" w:color="auto"/>
                        <w:left w:val="none" w:sz="0" w:space="0" w:color="auto"/>
                        <w:bottom w:val="none" w:sz="0" w:space="0" w:color="auto"/>
                        <w:right w:val="none" w:sz="0" w:space="0" w:color="auto"/>
                      </w:divBdr>
                    </w:div>
                    <w:div w:id="1395355413">
                      <w:marLeft w:val="0"/>
                      <w:marRight w:val="0"/>
                      <w:marTop w:val="0"/>
                      <w:marBottom w:val="0"/>
                      <w:divBdr>
                        <w:top w:val="none" w:sz="0" w:space="0" w:color="auto"/>
                        <w:left w:val="none" w:sz="0" w:space="0" w:color="auto"/>
                        <w:bottom w:val="none" w:sz="0" w:space="0" w:color="auto"/>
                        <w:right w:val="none" w:sz="0" w:space="0" w:color="auto"/>
                      </w:divBdr>
                    </w:div>
                    <w:div w:id="662241861">
                      <w:marLeft w:val="0"/>
                      <w:marRight w:val="0"/>
                      <w:marTop w:val="0"/>
                      <w:marBottom w:val="0"/>
                      <w:divBdr>
                        <w:top w:val="none" w:sz="0" w:space="0" w:color="auto"/>
                        <w:left w:val="none" w:sz="0" w:space="0" w:color="auto"/>
                        <w:bottom w:val="none" w:sz="0" w:space="0" w:color="auto"/>
                        <w:right w:val="none" w:sz="0" w:space="0" w:color="auto"/>
                      </w:divBdr>
                    </w:div>
                    <w:div w:id="459152632">
                      <w:marLeft w:val="0"/>
                      <w:marRight w:val="0"/>
                      <w:marTop w:val="0"/>
                      <w:marBottom w:val="0"/>
                      <w:divBdr>
                        <w:top w:val="none" w:sz="0" w:space="0" w:color="auto"/>
                        <w:left w:val="none" w:sz="0" w:space="0" w:color="auto"/>
                        <w:bottom w:val="none" w:sz="0" w:space="0" w:color="auto"/>
                        <w:right w:val="none" w:sz="0" w:space="0" w:color="auto"/>
                      </w:divBdr>
                    </w:div>
                    <w:div w:id="1422946767">
                      <w:marLeft w:val="0"/>
                      <w:marRight w:val="0"/>
                      <w:marTop w:val="0"/>
                      <w:marBottom w:val="0"/>
                      <w:divBdr>
                        <w:top w:val="none" w:sz="0" w:space="0" w:color="auto"/>
                        <w:left w:val="none" w:sz="0" w:space="0" w:color="auto"/>
                        <w:bottom w:val="none" w:sz="0" w:space="0" w:color="auto"/>
                        <w:right w:val="none" w:sz="0" w:space="0" w:color="auto"/>
                      </w:divBdr>
                    </w:div>
                    <w:div w:id="12375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rs.org/Current-Projects/IASB-Projects/Pages/IASB-Work-Pl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rs.org/Current-Projects/IASB-Projects/The-IASBs-Research-Programme/Pages/default.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tvs</dc:creator>
  <cp:keywords/>
  <dc:description/>
  <cp:lastModifiedBy>tvs</cp:lastModifiedBy>
  <cp:revision>8</cp:revision>
  <dcterms:created xsi:type="dcterms:W3CDTF">2017-03-01T08:24:00Z</dcterms:created>
  <dcterms:modified xsi:type="dcterms:W3CDTF">2017-03-02T05:34:00Z</dcterms:modified>
</cp:coreProperties>
</file>