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3F7804" w:rsidRPr="003F7804" w:rsidTr="003F7804">
        <w:trPr>
          <w:tblCellSpacing w:w="0" w:type="dxa"/>
          <w:jc w:val="center"/>
        </w:trPr>
        <w:tc>
          <w:tcPr>
            <w:tcW w:w="5000" w:type="pct"/>
            <w:shd w:val="clear" w:color="auto" w:fill="F0F6F9"/>
            <w:vAlign w:val="center"/>
            <w:hideMark/>
          </w:tcPr>
          <w:tbl>
            <w:tblPr>
              <w:tblW w:w="6912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3F7804" w:rsidRPr="003F7804">
              <w:trPr>
                <w:tblCellSpacing w:w="0" w:type="dxa"/>
                <w:jc w:val="center"/>
              </w:trPr>
              <w:tc>
                <w:tcPr>
                  <w:tcW w:w="230" w:type="dxa"/>
                  <w:shd w:val="clear" w:color="auto" w:fill="FFFFFF"/>
                  <w:vAlign w:val="center"/>
                  <w:hideMark/>
                </w:tcPr>
                <w:p w:rsidR="003F7804" w:rsidRPr="00B4390C" w:rsidRDefault="003F7804" w:rsidP="003F7804">
                  <w:pPr>
                    <w:spacing w:after="0" w:line="240" w:lineRule="auto"/>
                    <w:ind w:right="1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F7804" w:rsidRPr="003F78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0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5"/>
                    <w:gridCol w:w="11"/>
                  </w:tblGrid>
                  <w:tr w:rsidR="007C6BD5" w:rsidRPr="003F7804" w:rsidTr="007C6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29"/>
                          <w:gridCol w:w="2469"/>
                        </w:tblGrid>
                        <w:tr w:rsidR="007C6BD5" w:rsidRPr="004D016C" w:rsidTr="004F2C49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7C6BD5" w:rsidRPr="004D016C" w:rsidRDefault="007C6BD5" w:rsidP="004F2C49">
                              <w:pPr>
                                <w:ind w:left="259"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</w:p>
                            <w:p w:rsidR="007C6BD5" w:rsidRPr="004D016C" w:rsidRDefault="007C6BD5" w:rsidP="004F2C49">
                              <w:pPr>
                                <w:ind w:left="259" w:right="5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4D016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bg-BG"/>
                                </w:rPr>
                                <w:t>Съвет по международни счетоводни стандарти</w:t>
                              </w:r>
                            </w:p>
                            <w:p w:rsidR="007C6BD5" w:rsidRPr="004D016C" w:rsidRDefault="007C6BD5" w:rsidP="004F2C49">
                              <w:pPr>
                                <w:ind w:left="259"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4D016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bg-BG"/>
                                </w:rPr>
                                <w:t>Периодичен преглед</w:t>
                              </w:r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BD5" w:rsidRPr="004D016C" w:rsidRDefault="007C6BD5" w:rsidP="004F2C49">
                              <w:pPr>
                                <w:ind w:left="259" w:right="5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4D016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1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C6BD5" w:rsidRDefault="007C6BD5" w:rsidP="004F2C49">
                        <w:pPr>
                          <w:ind w:left="259"/>
                        </w:pPr>
                      </w:p>
                    </w:tc>
                  </w:tr>
                  <w:tr w:rsidR="007C6BD5" w:rsidRPr="003F7804" w:rsidTr="004C3918">
                    <w:trPr>
                      <w:tblCellSpacing w:w="0" w:type="dxa"/>
                    </w:trPr>
                    <w:tc>
                      <w:tcPr>
                        <w:tcW w:w="9395" w:type="dxa"/>
                        <w:shd w:val="clear" w:color="auto" w:fill="8D8F8E"/>
                        <w:vAlign w:val="center"/>
                        <w:hideMark/>
                      </w:tcPr>
                      <w:p w:rsidR="007C6BD5" w:rsidRPr="004C3918" w:rsidRDefault="004C3918" w:rsidP="004C3918">
                        <w:pPr>
                          <w:spacing w:after="0" w:line="240" w:lineRule="auto"/>
                          <w:ind w:right="192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  <w:lang w:val="bg-BG"/>
                          </w:rPr>
                          <w:t>Март</w:t>
                        </w:r>
                        <w:r w:rsidR="007C6BD5" w:rsidRPr="004C3918"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4"/>
                            <w:szCs w:val="14"/>
                          </w:rPr>
                          <w:t xml:space="preserve"> 2017 г.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C6BD5" w:rsidRPr="003F7804" w:rsidRDefault="007C6BD5" w:rsidP="003F7804">
                        <w:pPr>
                          <w:spacing w:after="0" w:line="240" w:lineRule="auto"/>
                          <w:ind w:right="1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7804" w:rsidRPr="003F7804" w:rsidTr="007C6BD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3F7804" w:rsidRPr="003F7804" w:rsidRDefault="003F7804" w:rsidP="003F7804">
                        <w:pPr>
                          <w:spacing w:after="0" w:line="240" w:lineRule="auto"/>
                          <w:ind w:right="1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7804" w:rsidRPr="003F7804" w:rsidTr="007C6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1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06"/>
                        </w:tblGrid>
                        <w:tr w:rsidR="003F7804" w:rsidRPr="003F7804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100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044"/>
                                <w:gridCol w:w="6"/>
                              </w:tblGrid>
                              <w:tr w:rsidR="003F7804" w:rsidRPr="003F780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3F7804" w:rsidRPr="004C3918" w:rsidRDefault="004C3918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Настоящият бюлетин на </w:t>
                                    </w:r>
                                    <w:proofErr w:type="gramStart"/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по международни счетоводни стандарти (IASB) (”Съветът”) представя предварителните решения на Съвета</w:t>
                                    </w:r>
                                    <w:proofErr w:type="gramEnd"/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Окончателните решения на </w:t>
                                    </w:r>
                                    <w:r w:rsidR="00E528E8"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Съвета по международни счетоводни стандарти </w:t>
                                    </w:r>
                                    <w:proofErr w:type="gramStart"/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стандарти, изменения и разяснения се подлагат на официално гласуване, съгласно предвиденото в 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Фондация МСФО (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IFRS 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Foundation)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21 и 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22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г. Съветът проведе публични заседания в офисите на Фондац</w:t>
                                    </w:r>
                                    <w:bookmarkStart w:id="0" w:name="_GoBack"/>
                                    <w:bookmarkEnd w:id="0"/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ия МСФО в Лондон, Великобритания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4C39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1" w:history="1">
                                      <w:r w:rsidR="00AD6D2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Разширено корпоративно отчитане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2" w:history="1"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Репутация и обезценка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3" w:history="1"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Дисконтови проценти – оценки на настоящата стойност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4" w:history="1"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Застрахователни договори</w:t>
                                      </w:r>
                                      <w:r w:rsidR="003F7804" w:rsidRPr="003F780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 xml:space="preserve"> [</w:t>
                                      </w:r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устно представена актуална информация</w:t>
                                      </w:r>
                                      <w:r w:rsidR="003F7804" w:rsidRPr="003F780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>]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5" w:history="1"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Основни финансови отчети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6" w:history="1">
                                      <w:r w:rsidR="0072709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Концептуална рамка за финансово отчитане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7" w:history="1">
                                      <w:r w:rsidR="00CD277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Динамично управление на риска</w:t>
                                      </w:r>
                                      <w:r w:rsidR="003F7804" w:rsidRPr="003F780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 xml:space="preserve"> [</w:t>
                                      </w:r>
                                      <w:r w:rsidR="00CD277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образователна сесия</w:t>
                                      </w:r>
                                      <w:r w:rsidR="003F7804" w:rsidRPr="003F780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>]</w:t>
                                      </w:r>
                                    </w:hyperlink>
                                  </w:p>
                                  <w:p w:rsidR="003F7804" w:rsidRPr="003F7804" w:rsidRDefault="0019797F" w:rsidP="003F780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8" w:history="1">
                                      <w:r w:rsidR="00CD277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Финансови инструменти с характеристики на собствен капитал</w:t>
                                      </w:r>
                                    </w:hyperlink>
                                  </w:p>
                                  <w:p w:rsidR="003F7804" w:rsidRPr="003F7804" w:rsidRDefault="003F7804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5" w:type="dxa"/>
                                    <w:hideMark/>
                                  </w:tcPr>
                                  <w:p w:rsidR="003F7804" w:rsidRPr="003F7804" w:rsidRDefault="003F7804" w:rsidP="003F7804">
                                    <w:pPr>
                                      <w:spacing w:after="0" w:line="240" w:lineRule="auto"/>
                                      <w:ind w:left="-803" w:right="694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F7804" w:rsidRPr="003F780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288" w:type="dxa"/>
                                      <w:left w:w="346" w:type="dxa"/>
                                      <w:bottom w:w="0" w:type="dxa"/>
                                      <w:right w:w="115" w:type="dxa"/>
                                    </w:tcMar>
                                    <w:vAlign w:val="center"/>
                                    <w:hideMark/>
                                  </w:tcPr>
                                  <w:p w:rsidR="003F7804" w:rsidRPr="003F7804" w:rsidRDefault="00AD6D21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Разширено корпоративно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28)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г.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D6D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две теми в рамките на изследователската работа във връзка с разширеното корпоративно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първоначално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проучване на средата за разширеното корпоративно отчитане и общ преглед на последиците за работата на Съвета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-подробни последици за работата на Съвета и опции за Работната му програма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Първоначално проучване на средата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28A)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D6D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резултатите към момента от проведената научноизследователска работа в областта на разширеното корпоративно отчитане.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D6D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реши в порядък на работна хипотеза да обмисли възможността да играе по-активна роля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 тази сфера </w:t>
                                    </w:r>
                                    <w:r w:rsidR="00AD6D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предложи да бъде извършена допълнителна научноизследователска работа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имайки предвид нарастването на значението на разширеното корпоративно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Дванадесет от членовете на Съвета изразиха 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Опции за Работната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програма на Съвета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proofErr w:type="gramEnd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28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възможностите за по-активна роля в разширеното корпоративно отчитане и реши в порядък на работна хипотеза да обмисли проект за преразглеждане и актуализиране на Изложението си за практика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Коментар на ръководството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поръча на екипа да извърши допълнителен анализ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провеждане на консултации 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Консултативния съвет</w:t>
                                    </w:r>
                                    <w:proofErr w:type="gramEnd"/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 </w:t>
                                    </w:r>
                                    <w:r w:rsidR="00547C5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Международните стандарти за финансово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051B7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преди да изготви формално предложение за добавяне на проект към актуалната изследователска програма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Дванадесет от членовете на Съвета изразиха 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AD6D2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бъдещо свое заседание </w:t>
                                    </w:r>
                                    <w:r w:rsid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ще обсъди</w:t>
                                    </w:r>
                                    <w:r w:rsidR="00727095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резултатите от допълнителна</w:t>
                                    </w:r>
                                    <w:r w:rsidR="00547C5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изследователска работа и анализ</w:t>
                                    </w:r>
                                    <w:r w:rsidR="00547C5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с които ще бъде запознат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lastRenderedPageBreak/>
                                      <w:t>Репутация и обезценка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18)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г.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C6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състоянието на изследователския проект </w:t>
                                    </w:r>
                                    <w:proofErr w:type="gramStart"/>
                                    <w:r w:rsidR="006C6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6C6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репутацията и обезценката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6C6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6C6AFC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Екипът ще представи на Съвета предложения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6C6AFC" w:rsidP="003F78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опростяване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модела за тестване на обезценката 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36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Обезценка на активи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6C6AFC" w:rsidP="003F78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повишаване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ефикасността на модела за тестване на обезценката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който ще се фокусира също така и върху допълнителните оповестявания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6C6AFC" w:rsidP="003F78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идентифициране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нематериалните активи в бизнес комбинация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1" w:name="3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Дисконтови проценти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оценки на настоящата стойност</w:t>
                                    </w:r>
                                    <w:bookmarkEnd w:id="1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17)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</w:t>
                                    </w:r>
                                    <w:r w:rsidR="00547C5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одина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завърши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обсъждането на изследователския си проект, посветен на дисконтовите проценти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Доклад до Съвета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17A)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доклада </w:t>
                                    </w:r>
                                    <w:proofErr w:type="gramStart"/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констатациите от изследователския проект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От Съвета не бе поискано да взема </w:t>
                                    </w:r>
                                    <w:r w:rsidR="00547C5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каквито и да е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решения във връзка с тези констатации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Приключване на изследователския проект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отбеляза, че резултатите от проекта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попадат в две категории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констатации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 проекта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списък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въпроси, които да бъдат разгледани в бъдеще от екипа в рамките на работата по изготвяне и въвеждане на стандарти във връзка с дисконтовите проценти и други аспекти на оценяването на настоящата стойност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реши, че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няма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да търси обратна информация от обществеността във връзка с резултатите от този изследователски проект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е необходима допълнителна работа по този изследователски проект, за да бъдат изпълнени неговите цели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 рамките на работата си по други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проекти Съветът ще направи преглед на констатациите от проекта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доколкото те се отнасят до съществуващи изисквания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992AC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Образователна сесия в рамките на бъдещо заседание на Съвета ще предостави информация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ниските и отрицателните дисконтови проценти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През последните няколко месеца последствията от тези проценти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които надхвърлят обхвата на изследователския проект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предизвикаха засилен публичен дебат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2" w:name="4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bookmarkEnd w:id="2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CD27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устно представена актуална информация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бе запознат с устно представена актуална информация </w:t>
                                    </w:r>
                                    <w:proofErr w:type="gramStart"/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992AC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напредъка към момента във връзка с проекта за застрахователните договори.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8058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възнамерява да публикува МСФО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17 </w:t>
                                    </w:r>
                                    <w:r w:rsidR="0068058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8058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през втората половина на май 2017 година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Основни финансови отчети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21)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г.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проекта </w:t>
                                    </w:r>
                                    <w:proofErr w:type="gramStart"/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основните финансови отчети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две предложения за междинни сборове в </w:t>
                                    </w:r>
                                    <w:proofErr w:type="gramStart"/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отчета(</w:t>
                                    </w:r>
                                    <w:proofErr w:type="spellStart"/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ите</w:t>
                                    </w:r>
                                    <w:proofErr w:type="spellEnd"/>
                                    <w:proofErr w:type="gramEnd"/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 за финансовите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както и насоки относно класифицирането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агрегирането и дезагрегирането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Печалба преди лихви и данъци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21A)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 xml:space="preserve">Съветът изрази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 консенсус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съгласие, че екипът следва да продължи проучванията във връзка с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това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изисква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представянето на междинен сбор за печалбата преди лихви и данъци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(EBIT)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отчета(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ите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 за финансовите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дефинира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печалбата преди лихви и данъци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(EBIT)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като печалба преди финансови приходи/разходи и данъци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опишат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финансовите приходи/разходи като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приходи/разходи, отнасящи се до капиталовата структура на предприятието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поиска от екипа да разгледа следните въпроси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как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да бъде дефинирана капиталовата структура на предприятието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1148A5" w:rsidP="003F780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дали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ще бъдат необходими допълнителни насоки относно третирането на конкретни позиции от приходите и разходите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например, нетната лихва по нетните задължения за дефинирани доходи и приходи/разходи от инвестиции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3F7804" w:rsidRPr="003F7804" w:rsidRDefault="00D5263A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Оценка на ръководството за оперативните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21</w:t>
                                    </w:r>
                                    <w:r w:rsidR="001148A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изрази 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 консенсус</w:t>
                                    </w: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съгласие, че екипът следва да продължи проучванията във връзка с</w:t>
                                    </w:r>
                                    <w:r w:rsidR="00D5263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това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D5263A" w:rsidP="003F780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изисква представянето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оценката на ръководството за оперативните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вместо да се опитва да дефинира оперативната печалба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отчета(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ите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 за финансовите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D5263A" w:rsidP="003F780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позволи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определени позиции да бъдат изключвани от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оценката на ръководството за оперативните резултати от дейността, стига междинният сбор за удовлетворява изискванията в съществуващите параграфи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85, 85A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D5263A" w:rsidP="003F7804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изисква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допълнителни оповестявания с цел осигуряване на прозрачност във връзка с представянето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оценката на ръководството за оперативните резултати от дейността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Общи насоки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Pr="006D1A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класифициране</w:t>
                                    </w:r>
                                    <w:r w:rsidRPr="006D1A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, </w:t>
                                    </w:r>
                                    <w:r w:rsidRPr="006D1A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агрегиране и дезагрегиране</w:t>
                                    </w:r>
                                    <w:r w:rsidRPr="006D1A4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21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реши в порядък на работна хипотеза </w:t>
                                    </w:r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разработи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съответствие с основните положения, предложени 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21</w:t>
                                    </w:r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принципи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агрегиране и дезагрегиране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във финансовия отчет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дефиниции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понятията „класифициране”, „агрегиране” и „дезагрегиране”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насоки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относно стъпките при прилагане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„класифициране”, „агрегиране” и „дезагрегиране” при изготвянето на финансовия отчет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Десет от членовете на Съвета изразиха съгласие, а двама – несъгласие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реши в порядък на работна хипотеза </w:t>
                                    </w:r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да проучи въпроса с предоставянето на повече насоки </w:t>
                                    </w:r>
                                    <w:proofErr w:type="gramStart"/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6D1A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характеристиките на агрегирането. Единадесет от членовете на Съвета изразиха съгласие, а един – несъгласие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6D1A42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бъдещи свои заседания Съветът ще обсъди позициите, които екипът бе помолен да разработи допълнително или да поясни в предложенията, представени на това заседание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Екипът ще проучи също така 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757376" w:rsidP="003F78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коригирана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основна печалба на акция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757376" w:rsidP="003F78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-добри начини за комуникиране на информация относно друг всеобхватен доход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757376" w:rsidP="003F78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представяне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резултатите на асоциирани и съвместни предприятия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757376" w:rsidP="003F78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целенасочени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подобрения в отчета за паричните потоци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757376" w:rsidP="003F78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разработване на примери за илюстрация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такива за специфични отрасли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например, финансови институции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основните финансови отчети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3" w:name="6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bookmarkEnd w:id="3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10)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</w:t>
                                    </w:r>
                                    <w:r w:rsidR="00A2212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одина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проекта </w:t>
                                    </w:r>
                                    <w:proofErr w:type="gramStart"/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Концептуалната 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По-специално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 дали и как изменението на параграф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Счетоводна политика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,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промени в счетоводните приблизителни оценки и грешки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 да се прилага по отношение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счетоводните политики при дейностите с регулирани цени. Освен това,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стъпките от регламентираната процедура, предприети във връзка с разработването на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Препратки към Концептуалната </w:t>
                                    </w:r>
                                    <w:r w:rsidR="00B4390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lastRenderedPageBreak/>
                                      <w:t>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C35A4F" w:rsidRDefault="00B4390C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Прилагане на изменението на параграф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8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Pr="00B439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Счетоводна политика</w:t>
                                    </w:r>
                                    <w:r w:rsidRPr="00B439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, </w:t>
                                    </w:r>
                                    <w:r w:rsidRPr="00B439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промени в счетоводните приблизителни оценки и грешки</w:t>
                                    </w:r>
                                    <w:r w:rsidRPr="00B4390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 отношение на дейности с регулирани цени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хипотеза, че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B4390C" w:rsidP="003F7804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left" w:pos="8895"/>
                                      </w:tabs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изменението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параграф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няма да се прилага по отношение на счетоводните политики във връзка с регулаторни салда по сметки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Вместо това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предприятията, които разработват счетоводни политики по отношение на регулаторни салда по сметки чрез препратка към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Общата рамка за изготвяне на финансови отчети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ще бъдат задължени да продължат да постъпват по този начин до момента, в който започнат да прилагат бъдещия стандарт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дейностите с регулирани цени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B4390C" w:rsidP="003F7804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забраната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прилагане на изменението на параграф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счетоводните политики във връзка с регулаторни салда по сметки</w:t>
                                    </w:r>
                                    <w:r w:rsidR="0082402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ще се прилага както по отношение на съществуващи, така и на нови счетоводни политики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82402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Единадесет от дванадесетте </w:t>
                                    </w:r>
                                    <w:proofErr w:type="gramStart"/>
                                    <w:r w:rsidR="0082402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членове на Съвета изразиха съгласие, а един член</w:t>
                                    </w:r>
                                    <w:proofErr w:type="gramEnd"/>
                                    <w:r w:rsidR="0082402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– несъгласие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82402F" w:rsidP="003F7804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регулаторно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салдо по сметка ще бъде дефинирано като салдото по разходна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или приходна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сметка, което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82402F" w:rsidP="003F7804">
                                    <w:pPr>
                                      <w:numPr>
                                        <w:ilvl w:val="1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е признато като актив или пасив в съответствие с МСФО стандартите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82402F" w:rsidP="003F7804">
                                    <w:pPr>
                                      <w:numPr>
                                        <w:ilvl w:val="1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включено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или се очаква да бъде включено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регулаторния орган, дефиниран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МСФО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Разчети за отсрочени регулаторни приходи и разходи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 установяване на цената или цените, които могат да бъдат начислявани на клиентите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Десет от дванадесетте членове на Съвета изразиха съгласие, а двама – несъгласие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C35A4F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Обобщение на регламентираната процедура във връзка с Препратки към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направи преглед 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стъпките от регламентираната </w:t>
                                    </w:r>
                                    <w:proofErr w:type="gramStart"/>
                                    <w:r w:rsidR="00C35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процедура, предприети до настоящия момент, при разработването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Препратки към Концептуалната 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и разгледа критериите за публикуване за повторно обсъждане в </w:t>
                                    </w:r>
                                    <w:r w:rsidR="00C35A4F" w:rsidRPr="00C35A4F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Ръководството за регламентираната процедура</w:t>
                                    </w:r>
                                    <w:proofErr w:type="gramEnd"/>
                                    <w:r w:rsidR="00C35A4F" w:rsidRPr="00C35A4F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</w:t>
                                    </w:r>
                                    <w:r w:rsidR="00A22123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по международни счетоводни стандарти</w:t>
                                    </w:r>
                                    <w:r w:rsidR="00C35A4F" w:rsidRPr="00C35A4F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 Комитета по разясненията на МСФО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B4390C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Всичките дванадесет членове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Съвета </w:t>
                                    </w:r>
                                    <w:r w:rsidR="00C35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потвърдиха, че са се уверили, че Съветът</w:t>
                                    </w:r>
                                    <w:proofErr w:type="gramEnd"/>
                                    <w:r w:rsidR="00C35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е изпълнил всички необходими до момента стъпки от регламентираната процедура и дадоха указания на екипа да пристъпи към процедурата по изготвяне на проект и провеждане на гласуване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0665C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Двама от дванадесетте членове на Съвета заявиха намерение да изразят несъгласие с публикуването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665C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Препратки към Концептуалната 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0665C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Екипът ще пристъпи към изготвянето на проект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Препратки към Концептуалната рамка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Динамично управление на риска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4)</w:t>
                                    </w:r>
                                  </w:p>
                                  <w:p w:rsidR="003F7804" w:rsidRPr="003F7804" w:rsidRDefault="00F62F71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Екипът представи на Съвета образователни материали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изследователския проект, произтичащ от документа за обсъждане от 2014 г. по същата тема. Съпътстващата презентация излага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F62F71" w:rsidP="003F7804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основната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информация и историята на проекта до март 2017 г. включително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F62F71" w:rsidP="003F7804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планирания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подход и срокове за първоначалните етапи от проекта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непосредствено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следващите 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етапи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заседание не бяха взети никакви решения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CD277B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4" w:name="8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Финансови инструменти с характеристики на собствен капитал</w:t>
                                    </w:r>
                                    <w:bookmarkEnd w:id="4"/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5)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3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2017 г. Съветът проведе заседание, за да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P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D0C4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две теми от изследователския проект, посветен на Финансови инструменти с характеристики на собствен капитал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бе запознат с обобщение на проведените до момента обсъждания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5A,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предоставен единствено с информационна цел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прилагането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подход „Гама” по отношение на деривативите върху „собствения капитал”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обобщение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взаимодействието с други МСФО стандарти; и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регламентираната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процедура и разрешение за гласуване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Прилагане на подход „Гама” по отношение на деривативите върху „собствения капитал”</w:t>
                                    </w: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обсъди </w:t>
                                    </w:r>
                                    <w:r w:rsidR="002D0C4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как подход „Гама” би </w:t>
                                    </w:r>
                                    <w:r w:rsidR="00A2212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се прилагал</w:t>
                                    </w:r>
                                    <w:r w:rsidR="002D0C4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 отношение на класифицирането на деривативи върху неконтролиращи участия с цена на упражняване, деноминирана в чуждестранна валута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884E24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дванадесет членове на Съвета изразиха съгласие с анализа в документа.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Взаимодействие с други МСФО стандарти</w:t>
                                    </w: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обсъди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обобщение на потенциалните последствия от подход „Гама” за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Концептуалната рамка за финансово отчитане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други МСФО стандарти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Разяснения на Комитета по разясненията</w:t>
                                    </w:r>
                                    <w:proofErr w:type="gramEnd"/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МСФО и други проекти, включени в програмата на Съвета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2D0C4D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Регламентирана процедура и разрешение за гласуване</w:t>
                                    </w:r>
                                    <w:r w:rsidRPr="002D0C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(</w:t>
                                    </w:r>
                                    <w:r w:rsid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Г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)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направи преглед на стъпките от регламентираната процедура, предприети до настоящия момент при разработването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документа за обсъждане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„Финансови инструменти с характеристики на собствен капитал”</w:t>
                                    </w:r>
                                    <w:r w:rsidR="00884E2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„Документът</w:t>
                                    </w:r>
                                    <w:proofErr w:type="gramEnd"/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обсъждане”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3F7804" w:rsidRPr="003F7804" w:rsidRDefault="00884E24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Всичките дванадесет членове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потвърдиха, че са се уверили, че Съветът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е изпълнил всички необходими до момента стъпки от регламентираната процедура и дадоха указания на екипа да пристъпи към процедурата по изготвяне на проект и провеждане на гласуване във връзка с Документа за обсъждане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72709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реши също така, че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като период за предоставяне на коментари по повод на Документа за обсъждане следва да бъде предоставен срок от 180 дни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884E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Следващи етапи</w:t>
                                    </w:r>
                                  </w:p>
                                  <w:p w:rsidR="003F7804" w:rsidRPr="003F7804" w:rsidRDefault="00884E24" w:rsidP="003F7804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Имайки предвид графика за публикациите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270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 да публикува Документа за обсъждане към края на 2017 г.</w:t>
                                    </w:r>
                                  </w:p>
                                  <w:p w:rsidR="003F7804" w:rsidRPr="003F7804" w:rsidRDefault="003F7804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3F7804" w:rsidRPr="003F7804" w:rsidRDefault="00AA5BB5" w:rsidP="003F7804">
                                    <w:pPr>
                                      <w:spacing w:after="240" w:line="207" w:lineRule="atLeast"/>
                                      <w:ind w:right="694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P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—</w:t>
                                    </w:r>
                                    <w:r w:rsidRPr="00AA5B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прогнозни цели към 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23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март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3F7804" w:rsidRPr="003F780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3F7804" w:rsidRPr="003F7804" w:rsidRDefault="00AA5BB5" w:rsidP="00AA5BB5">
                                    <w:pPr>
                                      <w:spacing w:after="0" w:line="207" w:lineRule="atLeast"/>
                                      <w:ind w:right="694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AA5B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Работната програма, отразяваща решенията, взети на това заседание е актуализирана на уебсайта на Съвета по международни счетоводни стандарти (IASB) на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март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hyperlink r:id="rId6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3F7804" w:rsidRPr="003F78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3F7804" w:rsidRPr="003F7804" w:rsidRDefault="003F7804" w:rsidP="003F7804">
                              <w:pPr>
                                <w:spacing w:after="240" w:line="240" w:lineRule="auto"/>
                                <w:ind w:right="192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3F7804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3F7804" w:rsidRPr="003F7804" w:rsidRDefault="003F7804" w:rsidP="003F7804">
                        <w:pPr>
                          <w:spacing w:after="0" w:line="240" w:lineRule="auto"/>
                          <w:ind w:right="1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7804" w:rsidRPr="003F7804" w:rsidRDefault="003F7804" w:rsidP="003F7804">
                  <w:pPr>
                    <w:spacing w:after="0" w:line="240" w:lineRule="auto"/>
                    <w:ind w:right="1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804" w:rsidRPr="003F78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vAlign w:val="center"/>
                  <w:hideMark/>
                </w:tcPr>
                <w:p w:rsidR="003F7804" w:rsidRPr="003F7804" w:rsidRDefault="00AA5BB5" w:rsidP="003F7804">
                  <w:pPr>
                    <w:spacing w:after="0" w:line="240" w:lineRule="auto"/>
                    <w:ind w:right="192"/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</w:rPr>
                  </w:pPr>
                  <w:r w:rsidRPr="00AA5BB5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3F7804" w:rsidRPr="003F7804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3F7804" w:rsidRDefault="003F7804" w:rsidP="003F7804">
            <w:pPr>
              <w:spacing w:after="0" w:line="240" w:lineRule="auto"/>
              <w:ind w:right="192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3F7804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t>Copyright © IFRS Foundation</w:t>
            </w:r>
            <w:r w:rsidRPr="003F7804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br/>
              <w:t>ISSN 1474-2675</w:t>
            </w:r>
          </w:p>
          <w:p w:rsidR="00AA5BB5" w:rsidRPr="00AA5BB5" w:rsidRDefault="00AA5BB5" w:rsidP="00AA5BB5">
            <w:pPr>
              <w:spacing w:after="0" w:line="240" w:lineRule="auto"/>
              <w:ind w:right="192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AA5BB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Авторски права© Фондация МСФО</w:t>
            </w:r>
          </w:p>
          <w:p w:rsidR="00AA5BB5" w:rsidRPr="00AA5BB5" w:rsidRDefault="00AA5BB5" w:rsidP="00AA5BB5">
            <w:pPr>
              <w:spacing w:after="0" w:line="240" w:lineRule="auto"/>
              <w:ind w:right="192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AA5BB5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ISSN 1474-2675</w:t>
            </w:r>
          </w:p>
        </w:tc>
      </w:tr>
    </w:tbl>
    <w:p w:rsidR="00D06B47" w:rsidRDefault="00D06B47" w:rsidP="003F7804">
      <w:pPr>
        <w:ind w:right="192"/>
      </w:pPr>
    </w:p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0D2"/>
    <w:multiLevelType w:val="multilevel"/>
    <w:tmpl w:val="E49CBEC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1F5"/>
    <w:multiLevelType w:val="multilevel"/>
    <w:tmpl w:val="27A671A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2B0A"/>
    <w:multiLevelType w:val="multilevel"/>
    <w:tmpl w:val="91CA6E0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C3FDC"/>
    <w:multiLevelType w:val="multilevel"/>
    <w:tmpl w:val="DDBABF0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766B"/>
    <w:multiLevelType w:val="multilevel"/>
    <w:tmpl w:val="F4783C3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73D54"/>
    <w:multiLevelType w:val="multilevel"/>
    <w:tmpl w:val="413636F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B2E12"/>
    <w:multiLevelType w:val="multilevel"/>
    <w:tmpl w:val="8A0A138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A0139"/>
    <w:multiLevelType w:val="multilevel"/>
    <w:tmpl w:val="786AE1B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C2681"/>
    <w:multiLevelType w:val="multilevel"/>
    <w:tmpl w:val="5BFAED0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92817"/>
    <w:multiLevelType w:val="multilevel"/>
    <w:tmpl w:val="1C52F1B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60C1F"/>
    <w:multiLevelType w:val="multilevel"/>
    <w:tmpl w:val="AD02CB3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23D68"/>
    <w:multiLevelType w:val="multilevel"/>
    <w:tmpl w:val="FE84C79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23825"/>
    <w:multiLevelType w:val="multilevel"/>
    <w:tmpl w:val="AEE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F7804"/>
    <w:rsid w:val="00051B76"/>
    <w:rsid w:val="000665C1"/>
    <w:rsid w:val="001148A5"/>
    <w:rsid w:val="0019797F"/>
    <w:rsid w:val="002D0C4D"/>
    <w:rsid w:val="003F7804"/>
    <w:rsid w:val="004C3918"/>
    <w:rsid w:val="005442D8"/>
    <w:rsid w:val="00547C52"/>
    <w:rsid w:val="00680587"/>
    <w:rsid w:val="006C6AFC"/>
    <w:rsid w:val="006D1A42"/>
    <w:rsid w:val="006E5C8C"/>
    <w:rsid w:val="00727095"/>
    <w:rsid w:val="00757376"/>
    <w:rsid w:val="007C6BD5"/>
    <w:rsid w:val="0082402F"/>
    <w:rsid w:val="00884E24"/>
    <w:rsid w:val="00984D53"/>
    <w:rsid w:val="00992ACD"/>
    <w:rsid w:val="00A22123"/>
    <w:rsid w:val="00AA5BB5"/>
    <w:rsid w:val="00AD6D21"/>
    <w:rsid w:val="00B4390C"/>
    <w:rsid w:val="00C306B7"/>
    <w:rsid w:val="00C35A4F"/>
    <w:rsid w:val="00C46FA4"/>
    <w:rsid w:val="00CD277B"/>
    <w:rsid w:val="00D06B47"/>
    <w:rsid w:val="00D5263A"/>
    <w:rsid w:val="00E528E8"/>
    <w:rsid w:val="00E954F0"/>
    <w:rsid w:val="00F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78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78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Current-Projects/IASB-Projects/Pages/IASB-Work-Plan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2175</Words>
  <Characters>13238</Characters>
  <Application>Microsoft Office Word</Application>
  <DocSecurity>0</DocSecurity>
  <Lines>227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25</cp:revision>
  <dcterms:created xsi:type="dcterms:W3CDTF">2017-03-27T05:00:00Z</dcterms:created>
  <dcterms:modified xsi:type="dcterms:W3CDTF">2017-03-28T05:36:00Z</dcterms:modified>
</cp:coreProperties>
</file>