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777B41" w:rsidRPr="00777B41" w:rsidTr="00777B41">
        <w:trPr>
          <w:tblCellSpacing w:w="0" w:type="dxa"/>
          <w:jc w:val="center"/>
        </w:trPr>
        <w:tc>
          <w:tcPr>
            <w:tcW w:w="0" w:type="auto"/>
            <w:shd w:val="clear" w:color="auto" w:fill="F0F6F9"/>
            <w:vAlign w:val="center"/>
            <w:hideMark/>
          </w:tcPr>
          <w:tbl>
            <w:tblPr>
              <w:tblW w:w="7513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777B41" w:rsidRPr="00777B41">
              <w:trPr>
                <w:tblCellSpacing w:w="0" w:type="dxa"/>
                <w:jc w:val="center"/>
              </w:trPr>
              <w:tc>
                <w:tcPr>
                  <w:tcW w:w="250" w:type="dxa"/>
                  <w:shd w:val="clear" w:color="auto" w:fill="FFFFFF"/>
                  <w:vAlign w:val="center"/>
                  <w:hideMark/>
                </w:tcPr>
                <w:p w:rsidR="006C18E6" w:rsidRPr="00777B41" w:rsidRDefault="00777B41" w:rsidP="0077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" name="Picture 1" descr="http://eifrs.iasb.org/eifrs/static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ifrs.iasb.org/eifrs/static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49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29"/>
                    <w:gridCol w:w="2469"/>
                  </w:tblGrid>
                  <w:tr w:rsidR="006C18E6" w:rsidRPr="004D016C" w:rsidTr="00773D08">
                    <w:trPr>
                      <w:tblCellSpacing w:w="0" w:type="dxa"/>
                    </w:trPr>
                    <w:tc>
                      <w:tcPr>
                        <w:tcW w:w="7054" w:type="dxa"/>
                        <w:shd w:val="clear" w:color="auto" w:fill="8D8F8E"/>
                        <w:vAlign w:val="center"/>
                      </w:tcPr>
                      <w:p w:rsidR="006C18E6" w:rsidRPr="004D016C" w:rsidRDefault="006C18E6" w:rsidP="00773D08">
                        <w:pPr>
                          <w:ind w:left="259" w:right="50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bg-BG"/>
                          </w:rPr>
                        </w:pPr>
                      </w:p>
                      <w:p w:rsidR="006C18E6" w:rsidRPr="004D016C" w:rsidRDefault="006C18E6" w:rsidP="00773D08">
                        <w:pPr>
                          <w:ind w:left="259" w:right="5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  <w:lang w:val="bg-BG"/>
                          </w:rPr>
                        </w:pPr>
                        <w:r w:rsidRPr="004D016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  <w:lang w:val="bg-BG"/>
                          </w:rPr>
                          <w:t>Съвет по международни счетоводни стандарти</w:t>
                        </w:r>
                      </w:p>
                      <w:p w:rsidR="006C18E6" w:rsidRPr="004D016C" w:rsidRDefault="006C18E6" w:rsidP="00773D08">
                        <w:pPr>
                          <w:ind w:left="259" w:right="50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bg-BG"/>
                          </w:rPr>
                        </w:pPr>
                        <w:r w:rsidRPr="004D016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bg-BG"/>
                          </w:rPr>
                          <w:t>Периодичен преглед</w:t>
                        </w:r>
                      </w:p>
                    </w:tc>
                    <w:tc>
                      <w:tcPr>
                        <w:tcW w:w="2444" w:type="dxa"/>
                        <w:shd w:val="clear" w:color="auto" w:fill="FFFFFF"/>
                        <w:vAlign w:val="center"/>
                        <w:hideMark/>
                      </w:tcPr>
                      <w:p w:rsidR="006C18E6" w:rsidRPr="004D016C" w:rsidRDefault="006C18E6" w:rsidP="00773D08">
                        <w:pPr>
                          <w:ind w:left="259" w:right="50"/>
                          <w:rPr>
                            <w:rFonts w:ascii="Arial" w:hAnsi="Arial" w:cs="Arial"/>
                            <w:sz w:val="20"/>
                            <w:szCs w:val="20"/>
                            <w:lang w:val="bg-BG"/>
                          </w:rPr>
                        </w:pPr>
                        <w:r w:rsidRPr="004D016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351915" cy="246380"/>
                              <wp:effectExtent l="19050" t="0" r="635" b="0"/>
                              <wp:docPr id="2" name="Picture 3" descr="IASB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ASB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1915" cy="246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7B41" w:rsidRPr="00777B41" w:rsidRDefault="00777B41" w:rsidP="0077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7B41" w:rsidRPr="00777B4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06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6"/>
                  </w:tblGrid>
                  <w:tr w:rsidR="00777B41" w:rsidRPr="00777B41" w:rsidTr="006C18E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FFFFFF"/>
                        </w:tcBorders>
                        <w:shd w:val="clear" w:color="auto" w:fill="B9D4E5"/>
                        <w:tcMar>
                          <w:top w:w="25" w:type="dxa"/>
                          <w:left w:w="0" w:type="dxa"/>
                          <w:bottom w:w="25" w:type="dxa"/>
                          <w:right w:w="188" w:type="dxa"/>
                        </w:tcMar>
                        <w:vAlign w:val="center"/>
                        <w:hideMark/>
                      </w:tcPr>
                      <w:p w:rsidR="00777B41" w:rsidRPr="00777B41" w:rsidRDefault="006C18E6" w:rsidP="006C18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64646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5"/>
                            <w:szCs w:val="15"/>
                            <w:lang w:val="bg-BG"/>
                          </w:rPr>
                          <w:t>Април</w:t>
                        </w:r>
                        <w:r w:rsidR="00777B41" w:rsidRPr="00777B41"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5"/>
                            <w:szCs w:val="15"/>
                          </w:rPr>
                          <w:t xml:space="preserve"> 2017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5"/>
                            <w:szCs w:val="15"/>
                            <w:lang w:val="bg-BG"/>
                          </w:rPr>
                          <w:t xml:space="preserve"> г.</w:t>
                        </w:r>
                      </w:p>
                    </w:tc>
                  </w:tr>
                  <w:tr w:rsidR="00777B41" w:rsidRPr="00777B41" w:rsidTr="006C18E6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7B41" w:rsidRPr="00777B41" w:rsidRDefault="00777B41" w:rsidP="00777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B41" w:rsidRPr="00777B41" w:rsidTr="006C18E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12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6"/>
                        </w:tblGrid>
                        <w:tr w:rsidR="00777B41" w:rsidRPr="00777B41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937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73"/>
                                <w:gridCol w:w="6"/>
                              </w:tblGrid>
                              <w:tr w:rsidR="00777B41" w:rsidRPr="00777B41" w:rsidTr="00777B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97" w:type="pct"/>
                                    <w:tcBorders>
                                      <w:bottom w:val="single" w:sz="2" w:space="0" w:color="C2C2C4"/>
                                    </w:tcBorders>
                                    <w:hideMark/>
                                  </w:tcPr>
                                  <w:p w:rsidR="00777B41" w:rsidRPr="00777B41" w:rsidRDefault="006C18E6" w:rsidP="00777B41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 стандарти, изменения и разяснения се подлагат на официално гласуване, съгласно предвиденото в 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Ръководството по регламентираната процедура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на Фондация МСФО (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IFRS 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vertAlign w:val="superscript"/>
                                        <w:lang w:val="bg-BG"/>
                                      </w:rPr>
                                      <w:t>®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Foundation)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4 април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2017 г.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понеделник, и 27 април 2017 г., четвъртък,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Съветът проведе публични заседания в офисите на Фондация МСФО в Лондон, Великобритания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Обсъжданите теми включваха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77B41" w:rsidRPr="00777B41" w:rsidRDefault="00FF473F" w:rsidP="00777B4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</w:rPr>
                                    </w:pPr>
                                    <w:hyperlink w:anchor="1" w:history="1">
                                      <w:r w:rsidR="00071F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Застрахователни договори</w:t>
                                      </w:r>
                                    </w:hyperlink>
                                  </w:p>
                                  <w:p w:rsidR="00777B41" w:rsidRPr="00777B41" w:rsidRDefault="00FF473F" w:rsidP="00777B4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</w:rPr>
                                    </w:pPr>
                                    <w:hyperlink w:anchor="2" w:history="1">
                                      <w:r w:rsidR="00071F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Дейности с регулирани цени</w:t>
                                      </w:r>
                                    </w:hyperlink>
                                  </w:p>
                                  <w:p w:rsidR="00777B41" w:rsidRPr="00777B41" w:rsidRDefault="00071FFB" w:rsidP="00777B4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5"/>
                                        <w:lang w:val="bg-BG"/>
                                      </w:rPr>
                                      <w:t>Образователна сесия на Съвета по финансово-счетоводни стандарти на САЩ (</w:t>
                                    </w:r>
                                    <w:hyperlink w:anchor="3" w:history="1">
                                      <w:r w:rsidR="00777B41" w:rsidRPr="00071F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FASB</w:t>
                                      </w:r>
                                      <w:r w:rsidRPr="00071F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)</w:t>
                                      </w:r>
                                      <w:r w:rsidR="00777B41" w:rsidRPr="00071F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 xml:space="preserve"> – </w:t>
                                      </w:r>
                                      <w:r w:rsidRPr="00071F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Отчитане на финансовите резултати от дейността</w:t>
                                      </w:r>
                                    </w:hyperlink>
                                  </w:p>
                                  <w:p w:rsidR="00777B41" w:rsidRPr="005560DA" w:rsidRDefault="00071FFB" w:rsidP="00777B4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 w:rsidRPr="005560D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5"/>
                                        <w:lang w:val="bg-BG"/>
                                      </w:rPr>
                                      <w:t>Въпроси, свързани с прилагането на</w:t>
                                    </w:r>
                                    <w:r w:rsidRPr="005560DA"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hyperlink w:anchor="4" w:history="1">
                                      <w:r w:rsidR="005560DA" w:rsidRPr="005560D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Международните</w:t>
                                      </w:r>
                                    </w:hyperlink>
                                    <w:r w:rsidR="005560DA" w:rsidRPr="005560D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5"/>
                                        <w:lang w:val="bg-BG"/>
                                      </w:rPr>
                                      <w:t xml:space="preserve"> стандарти за финансово отчитане (МСФО)</w:t>
                                    </w:r>
                                  </w:p>
                                  <w:p w:rsidR="00777B41" w:rsidRPr="005560DA" w:rsidRDefault="00FF473F" w:rsidP="00777B4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hyperlink w:anchor="5" w:history="1">
                                      <w:r w:rsidR="00071FFB" w:rsidRPr="005560D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Дефиниция на бизнес</w:t>
                                      </w:r>
                                    </w:hyperlink>
                                  </w:p>
                                  <w:p w:rsidR="00777B41" w:rsidRPr="00777B41" w:rsidRDefault="00777B41" w:rsidP="00777B41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" w:type="pct"/>
                                    <w:hideMark/>
                                  </w:tcPr>
                                  <w:p w:rsidR="00777B41" w:rsidRPr="00777B41" w:rsidRDefault="00777B41" w:rsidP="00777B4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77B41" w:rsidRPr="00777B41" w:rsidTr="00777B41">
                                <w:trPr>
                                  <w:gridAfter w:val="1"/>
                                  <w:wAfter w:w="3" w:type="pct"/>
                                  <w:tblCellSpacing w:w="0" w:type="dxa"/>
                                </w:trPr>
                                <w:tc>
                                  <w:tcPr>
                                    <w:tcW w:w="4997" w:type="pct"/>
                                    <w:tcMar>
                                      <w:top w:w="313" w:type="dxa"/>
                                      <w:left w:w="376" w:type="dxa"/>
                                      <w:bottom w:w="0" w:type="dxa"/>
                                      <w:right w:w="125" w:type="dxa"/>
                                    </w:tcMar>
                                    <w:vAlign w:val="center"/>
                                    <w:hideMark/>
                                  </w:tcPr>
                                  <w:p w:rsidR="00777B41" w:rsidRPr="00777B41" w:rsidRDefault="00071FFB" w:rsidP="00777B41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bookmarkStart w:id="0" w:name="1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Застрахователни </w:t>
                                    </w:r>
                                    <w:bookmarkEnd w:id="0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договори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2)</w:t>
                                    </w:r>
                                  </w:p>
                                  <w:p w:rsidR="00777B41" w:rsidRPr="00777B41" w:rsidRDefault="00D13509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бе запознат с актуална информация относно стратегията за подкрепа на въвеждането и прилагането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17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възнамерява да издаде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17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през втората половина на май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Допълнителна информация относно това как Съветът ще подкрепи въвеждането и прилагането ще бъде предоставена след издаването на стандарта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777B41" w:rsidP="00777B41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77B41" w:rsidRPr="00777B41" w:rsidRDefault="00071FFB" w:rsidP="00777B41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bookmarkStart w:id="1" w:name="2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Дейности с регулирани цени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bookmarkEnd w:id="1"/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9)</w:t>
                                    </w:r>
                                  </w:p>
                                  <w:p w:rsidR="00777B41" w:rsidRPr="00777B41" w:rsidRDefault="00394BB7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24 април 2017 г. Съветът проведе заседание, за да обсъди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72E3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проекта относно дейностите с регулирани цени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D72E3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обсъди преработен вариант на общото описание на нов счетоводен модел, който се разработва с цел да се признават регулаторните активи и пасиви. Преработеното описание обяснява ефекта от регулаторните споразумения върху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72E3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договорите с клиенти и върху финансовите резултати на предприятието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D72E32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Дискусиите на Съвета се фокусираха върху регулаторните споразумения, съдържащи механизъм за коригиране на тарифите който определя сумата на печалбата или маржа на печалбата, който предприятието има право да задържи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Pr="00D72E3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Съветът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разгледа също така и естеството на корекциите, които произтичат в резултат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77B41" w:rsidRPr="00777B41" w:rsidRDefault="00D06AD6" w:rsidP="00777B4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разликите между действителните и приблизително оценените суми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или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  <w:p w:rsidR="00777B41" w:rsidRPr="00777B41" w:rsidRDefault="00D06AD6" w:rsidP="00777B4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временните разлики, пораждащи се, когато регулираната тарифа в един период включва суми, отнасящи се до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изискваните от предприятието дейности</w:t>
                                    </w:r>
                                    <w:r w:rsidR="00EE608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извършени в различен период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EE6085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 Съвета не бе поискано да взема никакви решения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6C18E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Следващи етапи</w:t>
                                    </w:r>
                                  </w:p>
                                  <w:p w:rsidR="00777B41" w:rsidRPr="00777B41" w:rsidRDefault="00EE6085" w:rsidP="00EE6085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планира да обсъди допълнителни аспекти на проекта по време на заседанието си през май.</w:t>
                                    </w:r>
                                  </w:p>
                                  <w:p w:rsidR="00777B41" w:rsidRPr="00777B41" w:rsidRDefault="00071FFB" w:rsidP="00777B41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lastRenderedPageBreak/>
                                      <w:t>Образователна сесия на Съвета по финансово-счетоводни стандарти на САЩ (</w:t>
                                    </w:r>
                                    <w:hyperlink w:anchor="3" w:history="1">
                                      <w:r w:rsidRPr="00071F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20"/>
                                          <w:szCs w:val="20"/>
                                          <w:lang w:val="bg-BG"/>
                                        </w:rPr>
                                        <w:t>FASB) – Отчитане на финансовите резултати от дейността</w:t>
                                      </w:r>
                                    </w:hyperlink>
                                    <w:r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28)</w:t>
                                    </w:r>
                                  </w:p>
                                  <w:p w:rsidR="00777B41" w:rsidRPr="00777B41" w:rsidRDefault="00602FAB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Екипът на Съвета по финансово-счетоводни стандарти на САЩ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(FASB)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представи на Съвета обобщение на техните изследвания, като част от проекта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602F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Съвета по финансово-счетоводни стандарти на САЩ</w:t>
                                    </w:r>
                                    <w:r w:rsidRPr="00602F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(FASB)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„Доклад относно финансовите резултати от дейността“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Тази образователна сесия обхваща дезагрегация на информацията за резултатите то дейността и структурата на отчет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за резултатите от дейността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6C18E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Следващи етапи</w:t>
                                    </w:r>
                                  </w:p>
                                  <w:p w:rsidR="00777B41" w:rsidRPr="00777B41" w:rsidRDefault="00602FAB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ще продължи обсъжданията по собствения си проект „Основни финансови отчети“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777B41" w:rsidP="00777B41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77B41" w:rsidRPr="00777B41" w:rsidRDefault="00071FFB" w:rsidP="00777B41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bookmarkStart w:id="2" w:name="4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Въпроси, свързани с прилагането на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стандартите</w:t>
                                    </w:r>
                                    <w:bookmarkEnd w:id="2"/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12)</w:t>
                                    </w:r>
                                  </w:p>
                                  <w:p w:rsidR="00777B41" w:rsidRPr="00777B41" w:rsidRDefault="00394BB7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27 април 2017 г. Съветът проведе заседание, за да обсъди</w:t>
                                    </w:r>
                                    <w:r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C0FE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проекти за въвеждане и поддържане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на стандарти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DC0FE4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 xml:space="preserve">Актуална информация от 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Комитета по разясненията на МСФО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КРМСФО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)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12)</w:t>
                                    </w:r>
                                  </w:p>
                                  <w:p w:rsidR="00777B41" w:rsidRPr="00777B41" w:rsidRDefault="00DC0FE4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бе запознат с актуална информация от проведеното през март 2017 година заседание на Комитета по разясненията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„Комитетът“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Подробности за това заседание бяха публикувани в бюлетина с актуална информация на Комитета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 w:rsidR="00777B41" w:rsidRPr="00777B4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15"/>
                                          <w:u w:val="single"/>
                                        </w:rPr>
                                        <w:t>IFRIC</w:t>
                                      </w:r>
                                      <w:r w:rsidR="00777B41" w:rsidRPr="00777B4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15"/>
                                          <w:u w:val="single"/>
                                          <w:vertAlign w:val="superscript"/>
                                        </w:rPr>
                                        <w:t>®</w:t>
                                      </w:r>
                                      <w:r w:rsidR="00777B41" w:rsidRPr="00777B4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="00777B41" w:rsidRPr="00777B4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15"/>
                                          <w:u w:val="single"/>
                                        </w:rPr>
                                        <w:t>Update</w:t>
                                      </w:r>
                                    </w:hyperlink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</w:p>
                                  <w:p w:rsidR="00777B41" w:rsidRPr="00777B41" w:rsidRDefault="00DC0FE4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Такси, включени в теста относно „10-те процента“ за целите на отписването (преустановяване на признаването)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(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12A)</w:t>
                                    </w:r>
                                  </w:p>
                                  <w:p w:rsidR="00777B41" w:rsidRPr="00777B41" w:rsidRDefault="00DC0FE4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разгледа предложението на Комитета да предложи изменение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Финансови инструменти,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като част от 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ледващия цикъл 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„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Годишни подобрения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“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Предложеното изменение би пояснило изискванията, съдържащи се в първото изречение на параграф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3.3.6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9.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Изменението ще гласи, че когато се прави тестът за „10-те процента“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за да се прецени дали да се отпише финансов пасив, предприятието включва единствено таксите, платени и получени между предприятието и заемодателя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/кредитора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включително таксите, платени или получени от предприятието или от заемодателя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/кредитора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за сметка на другата страна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DC0FE4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77B41" w:rsidRPr="00777B41" w:rsidRDefault="00DC2956" w:rsidP="00777B4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предложи изменението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като част от следващия цикъл 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„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Годишни подобрения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“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и</w:t>
                                    </w:r>
                                  </w:p>
                                  <w:p w:rsidR="00777B41" w:rsidRPr="00777B41" w:rsidRDefault="00DC2956" w:rsidP="00777B4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предложи предприятието да прилага изменението само по отношение на модификация или размяна на финансови пасиви, които възникват на или след началото на годишния отчетен период, в който предприятието прилага изменението за първи път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DC295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Единадесет от тринадесетте членове 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на Съвета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изразиха съгласие с тези решения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 член изрази несъгласие, а един член се въздържа от гласуване по тези решения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6C18E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77B41" w:rsidRPr="00777B41" w:rsidRDefault="00DC295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На бъдещо свое заседание Съветът ще разгледа периода за 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предоставяне на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коментари и стъпките от регламентираната процедура, предприети до момента във връзка с предложението за изменение на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9.</w:t>
                                    </w:r>
                                  </w:p>
                                  <w:p w:rsidR="00777B41" w:rsidRPr="00777B41" w:rsidRDefault="00DC295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Изменения 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</w:t>
                                    </w:r>
                                    <w:r w:rsidR="00394BB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19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и КРМСФО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14 (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Б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-12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)</w:t>
                                    </w:r>
                                  </w:p>
                                  <w:p w:rsidR="00777B41" w:rsidRPr="00777B41" w:rsidRDefault="00DC295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обсъди препоръките на Комитета във връзка с предложенията за изменение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19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Доходи на наети лица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КРМСФО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14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19—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Таван на актив по план с дефинирани доходи, изискване за минимално фондово финансиране и взаимодействие между тях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DC295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това заседание Съветът изрази съгласие с препоръката на Комитета и реши в порядък на работна хипотеза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не изключва незначителни събития по плана от обхвата на измененията 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94BB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19. </w:t>
                                    </w:r>
                                    <w:r w:rsidRPr="00DC295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Единадесет от тринадесетте членове</w:t>
                                    </w:r>
                                    <w:r w:rsidR="00556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на Съвета </w:t>
                                    </w:r>
                                    <w:r w:rsidRPr="00DC295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изразиха съгласие с тези решения</w:t>
                                    </w:r>
                                    <w:r w:rsidRPr="00DC295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Pr="00DC295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Един член изрази несъгласие, а един член се въздържа от гласуване по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това решение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DC295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DC295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Съветът изрази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също така </w:t>
                                    </w:r>
                                    <w:r w:rsidRPr="00DC295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съгласие с препоръката на Комитета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във връзка с изискванията при преход </w:t>
                                    </w:r>
                                    <w:r w:rsidR="00446D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 отношение на измененията 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94BB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19 </w:t>
                                    </w:r>
                                    <w:r w:rsidR="00446D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 КРМСФО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14. </w:t>
                                    </w:r>
                                    <w:r w:rsidR="00446D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46D2B" w:rsidRPr="00446D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77B41" w:rsidRPr="00777B41" w:rsidRDefault="00446D2B" w:rsidP="00777B4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предприятието следва да прилага измененията в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КРМСФО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ретроспективно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 изключение на корекциите на балансовата стойност на активи извън обхвата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19); </w:t>
                                    </w:r>
                                  </w:p>
                                  <w:p w:rsidR="00777B41" w:rsidRPr="00777B41" w:rsidRDefault="00446D2B" w:rsidP="00777B4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446D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предприятието следва да прилага измененията в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перспективно по отношение на събития по плана, възникващи на или след датата на влизане в сила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77B41" w:rsidRPr="00777B41" w:rsidRDefault="00446D2B" w:rsidP="00777B4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измененията не следва да предоставят облекчаване на изискванията по отношение на предприятията, прилагащи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lastRenderedPageBreak/>
                                      <w:t>ги за първи път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446D2B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Дванадесет</w:t>
                                    </w:r>
                                    <w:r w:rsidRPr="00446D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от тринадесетте членове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на Съвета </w:t>
                                    </w:r>
                                    <w:r w:rsidRPr="00446D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изразиха съгласие с тези решения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а</w:t>
                                    </w:r>
                                    <w:r w:rsidRPr="00446D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един член се въздържа от гласуване по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тези решения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446D2B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това свое заседание Съветът не проведе обсъждания във връзка с датата на влизане в сила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Въпрос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 стъпките от регламентираната процедура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).</w:t>
                                    </w:r>
                                  </w:p>
                                  <w:p w:rsidR="00777B41" w:rsidRPr="00777B41" w:rsidRDefault="006C18E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77B41" w:rsidRPr="00777B41" w:rsidRDefault="00446D2B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На бъдещо заседание на Съвета ще бъде предоставена информация относно очаквания ефект от измененията в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КРМСФО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14,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като Съветът ще обсъди датата на влизане в сила и стъпките от регламентираната процедура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6848DE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Изменение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3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11 (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071FFB" w:rsidRPr="00071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Г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-12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Д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>)</w:t>
                                    </w:r>
                                  </w:p>
                                  <w:p w:rsidR="00777B41" w:rsidRPr="00777B41" w:rsidRDefault="00647531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Съветът обсъди препоръките на Комитета във връзка с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предложените изменения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3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Бизнес комбинации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11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Съвместни споразумения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 отношение на преди това държани дялове в съвместна дейност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Измененията 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3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ще поясняват, че </w:t>
                                    </w:r>
                                    <w:r w:rsidR="00AE5FA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когато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предприятието получава контрол върху бизнес, който е съвместна дейност, то преоценява преди това държани дялове в този бизнес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Измененията в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ще поясняват, че когато предприятието получава съвместен контрол в бизнес, който е съвместна дейност,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предприятието не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преоценява преди това държани дялове в този бизнес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647531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финализира измененията 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3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без промени по същество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поясни в измененията 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че когато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предприятието получава контрол върху бизнес, който е съвместна дейност, то преоценява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 преди това държани дялове в този бизнес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647531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Дванадесет от тринадесетте членове на Съвета изразиха съгласие с тези решения, а един член се въздържа от гласуване по тези решения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6C18E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77B41" w:rsidRPr="00777B41" w:rsidRDefault="00647531" w:rsidP="00647531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ще разгледа датата на влизане в сила и стъпките от регламентираната процедура на бъдещо свое заседание.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77B41" w:rsidRPr="00777B41" w:rsidRDefault="00071FFB" w:rsidP="00777B41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Дефиниция на бизнес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13)</w:t>
                                    </w:r>
                                  </w:p>
                                  <w:p w:rsidR="00777B41" w:rsidRPr="00777B41" w:rsidRDefault="00394BB7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27 април 2017 г. Съветът проведе заседание, за да обсъди</w:t>
                                    </w:r>
                                    <w:r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коментарите, получени във връзка с Проекта за обсъждане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Дефиниция на бизнес и счетоводно отчитане на преди това държани дялове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„Проектът за обсъждане“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).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По-специално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обсъди коментарите, получени във връзка с предложението да счита, че набор от придобити дейности и активи не представлява бизнес, ако е налице концентрация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Концентрация ще е налице, ако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справедливата стойност на придобитите брутни активи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се концентрира в един </w:t>
                                    </w:r>
                                    <w:r w:rsidR="005E15B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единствен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актив или група сходни активи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Това предложение понякога е наричано „скрийнинг тест“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647531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64753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77B41" w:rsidRPr="00777B41" w:rsidRDefault="001B4051" w:rsidP="00777B4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направи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скрийнинг теста въпрос на избор на база отделна сделка</w:t>
                                    </w:r>
                                    <w:r w:rsidR="00AE5FA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(сделка по сделка)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 този начин предприятието може да избере, сделка по сделка, да заобиколи скрийнинг теста и пряко да оцени дали е придобит съществен процес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5E15BD" w:rsidP="00777B4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потвърди, че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1B4051" w:rsidRP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скрийнинг тест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ът е определящ</w:t>
                                    </w:r>
                                    <w:r w:rsidR="00AE5FA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 (има детерминативен</w:t>
                                    </w:r>
                                    <w:bookmarkStart w:id="3" w:name="_GoBack"/>
                                    <w:bookmarkEnd w:id="3"/>
                                    <w:r w:rsidR="00AE5FA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характер)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. Това означава, че ако предприятието е извършило скрийнинг теста и е достигнало до заключение, че е налице концентрация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1B405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предприятието следва да третира сделката като покупка на актив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Няма допълнително оценяване, което да промени това заключение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Ако не е налице концентрация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то тогава предприятието следва да оцени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дали е придобило съществен процес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5E15BD" w:rsidP="00777B4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посочи, че брутните активи, които се вземат под внимание при скрийнинг теста не включват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77B41" w:rsidRPr="00777B41" w:rsidRDefault="005E15BD" w:rsidP="00777B41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репутация, произтичаща от ефекта от отсрочени данъчни пасиви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77B41" w:rsidRPr="00777B41" w:rsidRDefault="005E15BD" w:rsidP="00777B41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отсрочени данъчни активи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5E15BD" w:rsidP="00777B4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поясни, че насоките относно „един единствен актив“ по отношение на скрийнинг теста са приложими също, когато един от придобитите активи представлява право на използване, съгласно описанието 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Лизинг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например, за целите на скрийнинг теста наета на лизинг земя и сградата върху нея представляват един единствен актив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).</w:t>
                                    </w:r>
                                  </w:p>
                                  <w:p w:rsidR="00777B41" w:rsidRPr="00777B41" w:rsidRDefault="005E15BD" w:rsidP="00777B4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5E15B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да поясни, че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когато за целите на скрийнинг теста преценява дали активите са „сходни“, предприятието следва да вземе под внимание естеството на всеки отделен актив и рисковете, свързани с управляването и създаването на продукция от активите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5E15BD" w:rsidP="00777B4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5E15B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да поясни, че </w:t>
                                    </w:r>
                                    <w:r w:rsidR="00C25F0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новите насоки относно това какво може да се счита за един единствен актив или група сходни активи нямат за цел да модифицират съществуващите насоки относно сходни активи в параграф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36 </w:t>
                                    </w:r>
                                    <w:r w:rsidR="00C25F0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38 </w:t>
                                    </w:r>
                                    <w:r w:rsidR="00C25F0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Нематериални активи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C25F0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 термина „група/клас“ в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94BB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16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Имоти, машини и съоръжения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38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7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lastRenderedPageBreak/>
                                      <w:t>Финансови инструменти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</w:rPr>
                                      <w:t xml:space="preserve">: </w:t>
                                    </w:r>
                                    <w:r w:rsidR="00071FF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lang w:val="bg-BG"/>
                                      </w:rPr>
                                      <w:t>оповестяване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</w:p>
                                  <w:p w:rsidR="00777B41" w:rsidRPr="00777B41" w:rsidRDefault="00394BB7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Девет от тринадесетте членове на Съвета изразиха съгласие, а трима – несъгласие с това решение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 от членовете на Съвета се въздържа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6C18E6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77B41" w:rsidRPr="00777B41" w:rsidRDefault="00394BB7" w:rsidP="00777B41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бъдещо свое заседание Съветът ще обсъди коментарите, получени по повод останалите предложения, съдържащи се в Проекта за обсъждане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77B41" w:rsidRPr="00777B41" w:rsidRDefault="00777B41" w:rsidP="00777B41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77B41" w:rsidRPr="00777B41" w:rsidRDefault="006C18E6" w:rsidP="00777B41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Работна програма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прогнозни цели към 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8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април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2017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777B41" w:rsidRPr="00777B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777B41" w:rsidRPr="00777B41" w:rsidRDefault="006C18E6" w:rsidP="006C18E6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Работната програма, отразяваща решенията, взети на това заседание е актуализирана на уебсайта на Съвета по международни счетоводни стандарти (IASB) на</w:t>
                                    </w:r>
                                    <w:r w:rsidRPr="006C18E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28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април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8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Вижте я тук</w:t>
                                      </w:r>
                                    </w:hyperlink>
                                    <w:r w:rsidR="00777B41" w:rsidRPr="00777B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777B41" w:rsidRPr="00777B41" w:rsidRDefault="00777B41" w:rsidP="00777B41">
                              <w:pPr>
                                <w:spacing w:after="24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777B4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777B41" w:rsidRPr="00777B41" w:rsidRDefault="00777B41" w:rsidP="00777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77B41" w:rsidRPr="00777B41" w:rsidRDefault="00777B41" w:rsidP="0077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7B41" w:rsidRPr="00777B4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9D4E5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777B41" w:rsidRPr="00777B41" w:rsidRDefault="006C18E6" w:rsidP="00777B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F5F60"/>
                      <w:sz w:val="13"/>
                      <w:szCs w:val="13"/>
                    </w:rPr>
                  </w:pPr>
                  <w:r w:rsidRPr="006C18E6">
                    <w:rPr>
                      <w:rFonts w:ascii="Arial" w:eastAsia="Times New Roman" w:hAnsi="Arial" w:cs="Arial"/>
                      <w:color w:val="5F5F60"/>
                      <w:sz w:val="13"/>
                      <w:szCs w:val="13"/>
                      <w:lang w:val="bg-BG"/>
                    </w:rPr>
                    <w:lastRenderedPageBreak/>
                    <w:t>Моля отбележете, че информацията, публикувана в настоящия бюлетин произхожда от различни източници и е точна, доколкото това ни е известно. Съветът по международни счетоводни стандарти и Фондация МСФО обаче не носят отговорност за загуби, причинени на лице, което предприема действия или се въздържа от предприемането на действия, разчитайки на материалите в настоящата публикация, независимо дали тези загуби са причинени поради небрежност, или по друг начин</w:t>
                  </w:r>
                  <w:r w:rsidR="00777B41" w:rsidRPr="00777B41">
                    <w:rPr>
                      <w:rFonts w:ascii="Arial" w:eastAsia="Times New Roman" w:hAnsi="Arial" w:cs="Arial"/>
                      <w:color w:val="5F5F60"/>
                      <w:sz w:val="13"/>
                      <w:szCs w:val="13"/>
                    </w:rPr>
                    <w:t>.</w:t>
                  </w:r>
                </w:p>
              </w:tc>
            </w:tr>
          </w:tbl>
          <w:p w:rsidR="006C18E6" w:rsidRPr="006C18E6" w:rsidRDefault="006C18E6" w:rsidP="006C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5"/>
                <w:szCs w:val="15"/>
                <w:lang w:val="bg-BG"/>
              </w:rPr>
            </w:pPr>
            <w:r w:rsidRPr="006C18E6">
              <w:rPr>
                <w:rFonts w:ascii="Arial" w:eastAsia="Times New Roman" w:hAnsi="Arial" w:cs="Arial"/>
                <w:color w:val="5F5F60"/>
                <w:sz w:val="15"/>
                <w:szCs w:val="15"/>
              </w:rPr>
              <w:t>Copyright © IFRS Foundation</w:t>
            </w:r>
            <w:r w:rsidRPr="006C18E6">
              <w:rPr>
                <w:rFonts w:ascii="Arial" w:eastAsia="Times New Roman" w:hAnsi="Arial" w:cs="Arial"/>
                <w:color w:val="5F5F60"/>
                <w:sz w:val="15"/>
                <w:szCs w:val="15"/>
              </w:rPr>
              <w:br/>
              <w:t>ISSN 1474-2675</w:t>
            </w:r>
          </w:p>
          <w:p w:rsidR="006C18E6" w:rsidRPr="006C18E6" w:rsidRDefault="006C18E6" w:rsidP="006C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5"/>
                <w:szCs w:val="15"/>
                <w:lang w:val="bg-BG"/>
              </w:rPr>
            </w:pPr>
            <w:r w:rsidRPr="006C18E6">
              <w:rPr>
                <w:rFonts w:ascii="Arial" w:eastAsia="Times New Roman" w:hAnsi="Arial" w:cs="Arial"/>
                <w:color w:val="5F5F60"/>
                <w:sz w:val="15"/>
                <w:szCs w:val="15"/>
                <w:lang w:val="bg-BG"/>
              </w:rPr>
              <w:t>Авторски права© Фондация МСФО</w:t>
            </w:r>
          </w:p>
          <w:p w:rsidR="00777B41" w:rsidRPr="00777B41" w:rsidRDefault="006C18E6" w:rsidP="006C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5"/>
                <w:szCs w:val="15"/>
              </w:rPr>
            </w:pPr>
            <w:r w:rsidRPr="006C18E6">
              <w:rPr>
                <w:rFonts w:ascii="Arial" w:eastAsia="Times New Roman" w:hAnsi="Arial" w:cs="Arial"/>
                <w:color w:val="5F5F60"/>
                <w:sz w:val="15"/>
                <w:szCs w:val="15"/>
                <w:lang w:val="bg-BG"/>
              </w:rPr>
              <w:t>ISSN 1474-2675</w:t>
            </w:r>
          </w:p>
        </w:tc>
      </w:tr>
    </w:tbl>
    <w:p w:rsidR="00D06B47" w:rsidRDefault="00D06B47"/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AEE"/>
    <w:multiLevelType w:val="multilevel"/>
    <w:tmpl w:val="1A8CBB0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80B41"/>
    <w:multiLevelType w:val="multilevel"/>
    <w:tmpl w:val="2D42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04F10"/>
    <w:multiLevelType w:val="multilevel"/>
    <w:tmpl w:val="E39689A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5681C"/>
    <w:multiLevelType w:val="multilevel"/>
    <w:tmpl w:val="B41ADC8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11259"/>
    <w:multiLevelType w:val="multilevel"/>
    <w:tmpl w:val="15AE034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B41"/>
    <w:rsid w:val="00071FFB"/>
    <w:rsid w:val="001B4051"/>
    <w:rsid w:val="00223C59"/>
    <w:rsid w:val="002B6C63"/>
    <w:rsid w:val="00394BB7"/>
    <w:rsid w:val="00446D2B"/>
    <w:rsid w:val="00492FC0"/>
    <w:rsid w:val="004961D1"/>
    <w:rsid w:val="004B297F"/>
    <w:rsid w:val="005560DA"/>
    <w:rsid w:val="005E15BD"/>
    <w:rsid w:val="00602FAB"/>
    <w:rsid w:val="00647531"/>
    <w:rsid w:val="006848DE"/>
    <w:rsid w:val="006C18E6"/>
    <w:rsid w:val="00777B41"/>
    <w:rsid w:val="00883EBC"/>
    <w:rsid w:val="00AE5FA0"/>
    <w:rsid w:val="00C25F06"/>
    <w:rsid w:val="00D06AD6"/>
    <w:rsid w:val="00D06B47"/>
    <w:rsid w:val="00D13509"/>
    <w:rsid w:val="00D72E32"/>
    <w:rsid w:val="00D84BBD"/>
    <w:rsid w:val="00DC0FE4"/>
    <w:rsid w:val="00DC2956"/>
    <w:rsid w:val="00E7745B"/>
    <w:rsid w:val="00EB069B"/>
    <w:rsid w:val="00EE6085"/>
    <w:rsid w:val="00F60FED"/>
    <w:rsid w:val="00FF4143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8A8B0-70B7-48B5-A5CD-9F96A17C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7B41"/>
    <w:rPr>
      <w:i/>
      <w:iCs/>
    </w:rPr>
  </w:style>
  <w:style w:type="character" w:styleId="Hyperlink">
    <w:name w:val="Hyperlink"/>
    <w:basedOn w:val="DefaultParagraphFont"/>
    <w:uiPriority w:val="99"/>
    <w:unhideWhenUsed/>
    <w:rsid w:val="00777B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Current-Projects/IASB-Projects/Pages/IASB-Work-Pla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.amazonaws.com/ifrswebcontent/2017/IFRIC/March/IFRIC-Update-March-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1777</Words>
  <Characters>10307</Characters>
  <Application>Microsoft Office Word</Application>
  <DocSecurity>0</DocSecurity>
  <Lines>177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VS</cp:lastModifiedBy>
  <cp:revision>18</cp:revision>
  <dcterms:created xsi:type="dcterms:W3CDTF">2017-05-02T07:01:00Z</dcterms:created>
  <dcterms:modified xsi:type="dcterms:W3CDTF">2017-05-03T06:58:00Z</dcterms:modified>
</cp:coreProperties>
</file>