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85C97" w:rsidRPr="00185C97" w:rsidTr="00185C97">
        <w:trPr>
          <w:tblCellSpacing w:w="0" w:type="dxa"/>
          <w:jc w:val="center"/>
        </w:trPr>
        <w:tc>
          <w:tcPr>
            <w:tcW w:w="0" w:type="auto"/>
            <w:shd w:val="clear" w:color="auto" w:fill="F0F6F9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85C97" w:rsidRPr="00185C97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185C97" w:rsidRPr="00185C97" w:rsidRDefault="00185C97" w:rsidP="0018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85C97" w:rsidRPr="00185C9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72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03"/>
                    <w:gridCol w:w="2469"/>
                  </w:tblGrid>
                  <w:tr w:rsidR="00185C97" w:rsidRPr="00185C97" w:rsidTr="0045710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185C97" w:rsidRPr="00185C97" w:rsidRDefault="00185C97" w:rsidP="00185C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457103" w:rsidRPr="00185C97" w:rsidTr="00457103">
                    <w:trPr>
                      <w:tblCellSpacing w:w="0" w:type="dxa"/>
                    </w:trPr>
                    <w:tc>
                      <w:tcPr>
                        <w:tcW w:w="9059" w:type="dxa"/>
                        <w:shd w:val="clear" w:color="auto" w:fill="8D8F8E"/>
                        <w:vAlign w:val="center"/>
                        <w:hideMark/>
                      </w:tcPr>
                      <w:p w:rsidR="00457103" w:rsidRPr="004D016C" w:rsidRDefault="00457103" w:rsidP="00CD2672">
                        <w:pPr>
                          <w:ind w:left="259" w:right="50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bg-BG"/>
                          </w:rPr>
                        </w:pPr>
                      </w:p>
                      <w:p w:rsidR="00457103" w:rsidRPr="004D016C" w:rsidRDefault="00457103" w:rsidP="00CD2672">
                        <w:pPr>
                          <w:ind w:left="259" w:right="5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  <w:lang w:val="bg-BG"/>
                          </w:rPr>
                        </w:pPr>
                        <w:r w:rsidRPr="004D016C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  <w:lang w:val="bg-BG"/>
                          </w:rPr>
                          <w:t>Съвет по международни счетоводни стандарти</w:t>
                        </w:r>
                      </w:p>
                      <w:p w:rsidR="00457103" w:rsidRPr="004D016C" w:rsidRDefault="00457103" w:rsidP="00CD2672">
                        <w:pPr>
                          <w:ind w:left="259" w:right="50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bg-BG"/>
                          </w:rPr>
                        </w:pPr>
                        <w:r w:rsidRPr="004D016C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bg-BG"/>
                          </w:rPr>
                          <w:t>Периодичен преглед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57103" w:rsidRPr="004D016C" w:rsidRDefault="00457103" w:rsidP="00CD2672">
                        <w:pPr>
                          <w:ind w:left="259" w:right="50"/>
                          <w:rPr>
                            <w:rFonts w:ascii="Arial" w:hAnsi="Arial" w:cs="Arial"/>
                            <w:sz w:val="20"/>
                            <w:szCs w:val="20"/>
                            <w:lang w:val="bg-BG"/>
                          </w:rPr>
                        </w:pPr>
                        <w:r w:rsidRPr="004D016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>
                              <wp:extent cx="1351915" cy="246380"/>
                              <wp:effectExtent l="19050" t="0" r="635" b="0"/>
                              <wp:docPr id="1" name="Picture 3" descr="IASB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ASB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1915" cy="246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57103" w:rsidRPr="00185C97" w:rsidTr="0045710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12" w:space="0" w:color="FFFFFF"/>
                        </w:tcBorders>
                        <w:shd w:val="clear" w:color="auto" w:fill="B9D4E5"/>
                        <w:tcMar>
                          <w:top w:w="30" w:type="dxa"/>
                          <w:left w:w="0" w:type="dxa"/>
                          <w:bottom w:w="30" w:type="dxa"/>
                          <w:right w:w="225" w:type="dxa"/>
                        </w:tcMar>
                        <w:vAlign w:val="center"/>
                        <w:hideMark/>
                      </w:tcPr>
                      <w:p w:rsidR="00457103" w:rsidRPr="00457103" w:rsidRDefault="00457103" w:rsidP="00185C9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64646"/>
                            <w:sz w:val="18"/>
                            <w:szCs w:val="18"/>
                            <w:lang w:val="bg-BG" w:eastAsia="en-GB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8"/>
                            <w:szCs w:val="18"/>
                            <w:lang w:val="bg-BG" w:eastAsia="en-GB"/>
                          </w:rPr>
                          <w:t xml:space="preserve">Май </w:t>
                        </w:r>
                        <w:r w:rsidRPr="00185C97"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8"/>
                            <w:szCs w:val="18"/>
                            <w:lang w:eastAsia="en-GB"/>
                          </w:rPr>
                          <w:t xml:space="preserve"> 2017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8"/>
                            <w:szCs w:val="18"/>
                            <w:lang w:val="bg-BG" w:eastAsia="en-GB"/>
                          </w:rPr>
                          <w:t xml:space="preserve"> г.</w:t>
                        </w:r>
                      </w:p>
                    </w:tc>
                  </w:tr>
                  <w:tr w:rsidR="00457103" w:rsidRPr="00185C97" w:rsidTr="0045710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457103" w:rsidRPr="00185C97" w:rsidRDefault="00457103" w:rsidP="00185C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457103" w:rsidRPr="00185C97" w:rsidTr="0045710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15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57103" w:rsidRPr="00185C9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44"/>
                                <w:gridCol w:w="6"/>
                              </w:tblGrid>
                              <w:tr w:rsidR="00457103" w:rsidRPr="00185C97" w:rsidTr="00E20FC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2" w:space="0" w:color="C2C2C4"/>
                                    </w:tcBorders>
                                    <w:hideMark/>
                                  </w:tcPr>
                                  <w:p w:rsidR="00457103" w:rsidRPr="00185C97" w:rsidRDefault="00457103" w:rsidP="00185C97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Настоящият бюлетин на </w:t>
                                    </w:r>
                                    <w:proofErr w:type="gramStart"/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Съвета по международни счетоводни стандарти (IASB) (”Съветът”) представя предварителните решения на Съвета</w:t>
                                    </w:r>
                                    <w:proofErr w:type="gramEnd"/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. Окончателните решения на Съвета по международни счетоводни стандарти </w:t>
                                    </w:r>
                                    <w:proofErr w:type="gramStart"/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относно</w:t>
                                    </w:r>
                                    <w:proofErr w:type="gramEnd"/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стандарти, изменения и разяснения се подлагат на официално гласуване, съгласно предвиденото в </w:t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Ръководството по регламентираната процедура</w:t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на Фондация МСФО (</w:t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en-US" w:eastAsia="en-GB"/>
                                      </w:rPr>
                                      <w:t xml:space="preserve">IFRS </w:t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vertAlign w:val="superscript"/>
                                        <w:lang w:val="bg-BG" w:eastAsia="en-GB"/>
                                      </w:rPr>
                                      <w:t>®</w:t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Foundation)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и Комитета по разясненията на МСФО.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На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16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май 2017 г</w:t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.,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вторник</w:t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, и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17</w:t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май</w:t>
                                    </w:r>
                                    <w:proofErr w:type="gramEnd"/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2017 г.,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сряда</w:t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, Съветът проведе публични заседания в офисите на Фондация МСФО в Лондон, Великобритания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Обсъжданите теми </w:t>
                                    </w:r>
                                    <w:r w:rsidR="00E20FC0"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включваха</w:t>
                                    </w:r>
                                    <w:r w:rsidR="00E20FC0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hyperlink w:anchor="1" w:history="1"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8"/>
                                          <w:lang w:val="bg-BG" w:eastAsia="en-GB"/>
                                        </w:rPr>
                                        <w:t>Динамично управление на риска</w:t>
                                      </w:r>
                                    </w:hyperlink>
                                  </w:p>
                                  <w:p w:rsidR="00457103" w:rsidRPr="00185C97" w:rsidRDefault="00457103" w:rsidP="00185C9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hyperlink w:anchor="2" w:history="1"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8"/>
                                          <w:lang w:val="bg-BG" w:eastAsia="en-GB"/>
                                        </w:rPr>
                                        <w:t>Дейности с регулирани цени</w:t>
                                      </w:r>
                                    </w:hyperlink>
                                  </w:p>
                                  <w:p w:rsidR="00457103" w:rsidRPr="00457103" w:rsidRDefault="00457103" w:rsidP="00185C9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lang w:val="bg-BG" w:eastAsia="en-GB"/>
                                      </w:rPr>
                                    </w:pP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lang w:val="bg-BG" w:eastAsia="en-GB"/>
                                      </w:rPr>
                                      <w:t>Въпроси, свързани с прилагането на МСФО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hyperlink w:anchor="4" w:history="1"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8"/>
                                          <w:lang w:val="bg-BG" w:eastAsia="en-GB"/>
                                        </w:rPr>
                                        <w:t xml:space="preserve">Лизинг </w:t>
                                      </w:r>
                                      <w:r w:rsidRPr="00185C9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8"/>
                                          <w:lang w:eastAsia="en-GB"/>
                                        </w:rPr>
                                        <w:t>—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8"/>
                                          <w:lang w:val="bg-BG" w:eastAsia="en-GB"/>
                                        </w:rPr>
                                        <w:t xml:space="preserve"> актуална информация във връзка с въвеждането и прилагането на стандарта</w:t>
                                      </w:r>
                                    </w:hyperlink>
                                  </w:p>
                                  <w:p w:rsidR="00457103" w:rsidRPr="00185C97" w:rsidRDefault="00457103" w:rsidP="00185C9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hyperlink w:anchor="5" w:history="1">
                                      <w:r w:rsidR="00E20FC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8"/>
                                          <w:lang w:val="bg-BG" w:eastAsia="en-GB"/>
                                        </w:rPr>
                                        <w:t>Актуална информация във връзка с изследователските проекти</w:t>
                                      </w:r>
                                    </w:hyperlink>
                                  </w:p>
                                  <w:p w:rsidR="00457103" w:rsidRPr="00185C97" w:rsidRDefault="00457103" w:rsidP="00185C9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hyperlink w:anchor="6" w:history="1"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8"/>
                                          <w:lang w:val="bg-BG" w:eastAsia="en-GB"/>
                                        </w:rPr>
                                        <w:t>Репутация и обезценка</w:t>
                                      </w:r>
                                    </w:hyperlink>
                                  </w:p>
                                  <w:p w:rsidR="00457103" w:rsidRPr="00185C97" w:rsidRDefault="00457103" w:rsidP="00185C97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57103" w:rsidRPr="00185C97" w:rsidRDefault="00457103" w:rsidP="00185C9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457103" w:rsidRPr="00185C97" w:rsidTr="00E20FC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Mar>
                                      <w:top w:w="375" w:type="dxa"/>
                                      <w:left w:w="4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457103" w:rsidRPr="00185C97" w:rsidRDefault="00457103" w:rsidP="00185C97">
                                    <w:pPr>
                                      <w:spacing w:after="24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Динамично управление на риска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Документ по програмата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4)</w:t>
                                    </w:r>
                                  </w:p>
                                  <w:p w:rsidR="00457103" w:rsidRPr="00185C97" w:rsidRDefault="00E20FC0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На 16 май 2017 г. Съветът проведе заседание във връзка с презентация, посветена на изследователския проект „Динамично управление на риска”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На участниците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бе представен образователен материал във връзка с проекта, като те бяха запознати и със следните въпроси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  <w:p w:rsidR="00457103" w:rsidRPr="00185C97" w:rsidRDefault="00E20FC0" w:rsidP="00185C9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Как и защо нетният лихвен марж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се управлява по отношение на портфейли, финансирани от депозити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и</w:t>
                                    </w:r>
                                  </w:p>
                                  <w:p w:rsidR="00457103" w:rsidRPr="00185C97" w:rsidRDefault="00E20FC0" w:rsidP="00185C9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Как моделирането на безсрочните депозити осигурява информация</w:t>
                                    </w:r>
                                    <w:r w:rsidR="00AD5E6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, спомагаща за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действията по динамично управление на риска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AD5E61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От Съвета не бе поискано да взема каквито и да е решения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Следващи етапи</w:t>
                                    </w:r>
                                  </w:p>
                                  <w:p w:rsidR="00457103" w:rsidRPr="00185C97" w:rsidRDefault="00AD5E61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Съветът ще обсъди динамичното естество на портфейлите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24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24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Дейности с регулирани цени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Документ по програмата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9)</w:t>
                                    </w:r>
                                  </w:p>
                                  <w:p w:rsidR="00457103" w:rsidRPr="00185C97" w:rsidRDefault="00AD5E61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На 16 май 2017 г. Съветът проведе заседание, за да възобнови обсъжданията във връзка с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lastRenderedPageBreak/>
                                      <w:t>възможния счетоводен модел по отношение на дейностите, обект на „регулиране на цените/тарифите”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Регулирането на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цените/тарифите установява базата за определяне на регулираната цена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, която предприятието може да начисли на своите клиенти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за специфични стоки или услуги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използвайки мерки, включително механизъм за корекция на цените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Този механизъм определя дали предприятието има право да увеличи или задължение да намали регулираната цена за бъдещ период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  <w:p w:rsidR="00457103" w:rsidRPr="00185C97" w:rsidRDefault="00AD5E61" w:rsidP="00185C9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за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да коригира колебания в минали приблизителни оценки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или</w:t>
                                    </w:r>
                                  </w:p>
                                  <w:p w:rsidR="00457103" w:rsidRPr="00185C97" w:rsidRDefault="00AD5E61" w:rsidP="00185C9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за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да сторнира или разпредели равномерно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ефектите, които текущи временни разлики ще имат върху бъдещи периоди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Подобни разлики възникват, когато регулираната цена в един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период включва суми, отнасящи се до изисквани дейности, които предприятието е извършило в друг период</w:t>
                                    </w:r>
                                    <w:proofErr w:type="gramEnd"/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AD5E61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Съветът обсъди анализ, който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463F4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предлага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BF268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правата или задълженията, създадени от механизма за коригиране на цените </w:t>
                                    </w:r>
                                    <w:r w:rsidR="00463F4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да бъдат разглеждани като</w:t>
                                    </w:r>
                                    <w:r w:rsidR="00BF268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активи или пасиви, доколкото се очаква тези термини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BF268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да бъдат дефинирани в предстоящата да бъде издадена преработена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BF268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Концептуална рамка за финансово отчитане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BF268C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От Съвета не бе поискано да взема каквито и да е решения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Следващи етапи</w:t>
                                    </w:r>
                                  </w:p>
                                  <w:p w:rsidR="00457103" w:rsidRPr="00185C97" w:rsidRDefault="00BF268C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Съветът планира да обсъди допълнителни аспекти на този модел по време на заседанието си през юни 2017 година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24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:rsidR="00457103" w:rsidRPr="00185C97" w:rsidRDefault="00E20FC0" w:rsidP="00185C97">
                                    <w:pPr>
                                      <w:spacing w:after="24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bookmarkStart w:id="0" w:name="3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Въвеждане и поддържане на МСФО стандартите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</w:t>
                                    </w:r>
                                    <w:bookmarkEnd w:id="0"/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(</w:t>
                                    </w:r>
                                    <w:r w:rsidR="0045710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Документ по програмата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12)</w:t>
                                    </w:r>
                                  </w:p>
                                  <w:p w:rsidR="00457103" w:rsidRPr="00185C97" w:rsidRDefault="00BF268C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На 16 май 2017 г. Съветът проведе заседание</w:t>
                                    </w:r>
                                    <w:r w:rsidR="00F440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, за да обсъди проекти, свързани с въвеждане и поддържане на стандартите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F4407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Актуална информация от Комитета по разясненията на МСФО (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>IFRIC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vertAlign w:val="superscript"/>
                                        <w:lang w:eastAsia="en-GB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)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>(</w:t>
                                    </w:r>
                                    <w:r w:rsidR="00B92B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Документ по програмата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 xml:space="preserve"> 12)</w:t>
                                    </w:r>
                                  </w:p>
                                  <w:p w:rsidR="00457103" w:rsidRPr="00185C97" w:rsidRDefault="00F4407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Съветът бе запознат с актуална информация за проведеното през май 2017 г. заседание на Комитета по разясненията на МСФО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Подробности за това заседание са публикувани в Бюлетина с актуална информация на Комитета по разясненията, който е достъпен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hyperlink r:id="rId6" w:history="1">
                                      <w:r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8"/>
                                          <w:u w:val="single"/>
                                          <w:lang w:val="bg-BG" w:eastAsia="en-GB"/>
                                        </w:rPr>
                                        <w:t>тук</w:t>
                                      </w:r>
                                    </w:hyperlink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F4407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Ратифициране на Разяснение на КРМСФО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 xml:space="preserve"> (</w:t>
                                    </w:r>
                                    <w:r w:rsidR="00B92B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Документ по програмата</w:t>
                                    </w:r>
                                    <w:r w:rsidR="00B92B0F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>12A)</w:t>
                                    </w:r>
                                  </w:p>
                                  <w:p w:rsidR="00457103" w:rsidRPr="00185C97" w:rsidRDefault="00F4407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Съветът ратифицира Разяснение на КРМСФО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Несигурност при данъчно третиране на данъци върху дохода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„Разяснението”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).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Разяснението адресира въпроса как да бъде отразена несигурността при счетоводното отчитане на данъците върху дохода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1A5CD7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Всичките тринадесет членове на Съвета изразиха съгласие с тази ратификация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Следващи етапи</w:t>
                                    </w:r>
                                  </w:p>
                                  <w:p w:rsidR="00457103" w:rsidRPr="00185C97" w:rsidRDefault="00F4407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Съветът очаква да издаде Разяснението през второто тримесечие на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2017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г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F4407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Изменения в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296E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МСС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 xml:space="preserve"> 28—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Дългосрочни участия в асоциирани и съвместни предприятия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>(</w:t>
                                    </w:r>
                                    <w:r w:rsidR="00B92B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Документ по програмата</w:t>
                                    </w:r>
                                    <w:r w:rsidR="00B92B0F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>12</w:t>
                                    </w:r>
                                    <w:r w:rsidR="00B92B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Б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>)</w:t>
                                    </w:r>
                                  </w:p>
                                  <w:p w:rsidR="00457103" w:rsidRPr="00185C97" w:rsidRDefault="00F4407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Съветът </w:t>
                                    </w:r>
                                    <w:r w:rsidR="005734E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разгледа коментарите във връзка с предложението за изменения в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МСС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28 </w:t>
                                    </w:r>
                                    <w:r w:rsidR="00296E7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 xml:space="preserve">Инвестиции в асоциирани и </w:t>
                                    </w:r>
                                    <w:proofErr w:type="gramStart"/>
                                    <w:r w:rsidR="00296E7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 xml:space="preserve">съвместни </w:t>
                                    </w:r>
                                    <w:r w:rsidR="002865F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предприятия</w:t>
                                    </w:r>
                                    <w:r w:rsidR="00296E7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,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734E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които биха пояснили, че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МСФО</w:t>
                                    </w:r>
                                    <w:r w:rsidR="0016767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9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Финансови инструменти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734E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е приложим по отношение на дългосрочни участия в асоциирани и съвместни</w:t>
                                    </w:r>
                                    <w:proofErr w:type="gramEnd"/>
                                    <w:r w:rsidR="005734E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предприятия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 </w:t>
                                    </w:r>
                                    <w:r w:rsidR="005734E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Дългосрочните </w:t>
                                    </w:r>
                                    <w:proofErr w:type="gramStart"/>
                                    <w:r w:rsidR="005734E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участия са участия</w:t>
                                    </w:r>
                                    <w:proofErr w:type="gramEnd"/>
                                    <w:r w:rsidR="005734E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, по отношение на които не се прилага методът на собствения капитал, но които по същество съставляват част от нетната инвестиция в асоциираното или съвместно предприятие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 </w:t>
                                    </w:r>
                                    <w:r w:rsidR="005734E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Предложените изменения са включени в Проекта за обсъждане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Годишни подобрения на МСФО стандартите - цикъл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eastAsia="en-GB"/>
                                      </w:rPr>
                                      <w:t xml:space="preserve"> 2015–2017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lastRenderedPageBreak/>
                                      <w:t>година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Съветът реши в порядък на работна хипотеза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734E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да финализира предложените изменения в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МСС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28 </w:t>
                                    </w:r>
                                    <w:r w:rsidR="005734E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  <w:p w:rsidR="00457103" w:rsidRPr="00185C97" w:rsidRDefault="005734EF" w:rsidP="00185C9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поясни в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МСС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28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, че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  <w:p w:rsidR="00457103" w:rsidRPr="00185C97" w:rsidRDefault="005734EF" w:rsidP="00185C97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предприятието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прилага изискванията, съдържащи се в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МСФО</w:t>
                                    </w:r>
                                    <w:r w:rsidR="0016767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по отношение на дългосрочните участия, преди да приложи изискванията за разпределяне на загубата и обезценка, съдържащи се в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МСС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28;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и</w:t>
                                    </w:r>
                                  </w:p>
                                  <w:p w:rsidR="00457103" w:rsidRPr="00185C97" w:rsidRDefault="005734EF" w:rsidP="00185C97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при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прилагането на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МСФО</w:t>
                                    </w:r>
                                    <w:r w:rsidR="0016767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9,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предприятието не взема под внимание евентуални корекции на балансовата стойност на дългосрочните участия, произтичащи от прилагането на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МСС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28.</w:t>
                                    </w:r>
                                  </w:p>
                                  <w:p w:rsidR="00457103" w:rsidRPr="00185C97" w:rsidRDefault="005734EF" w:rsidP="00185C9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разработи образователни материали, съдържащи пример, който да илюстрира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как си взаимодействат изискванията, съдържащи се в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МСС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28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МСФО</w:t>
                                    </w:r>
                                    <w:r w:rsidR="0016767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по отношение на дългосрочните участия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D00700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Дванадесет от тринадесетте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членове на Съвета изразиха съгласие с тези решения, а един от членовете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- несъгласие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D00700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Наред с това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</w:t>
                                    </w:r>
                                    <w:r w:rsidR="00B92B0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Съветът реши в порядък на работна хипотеза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  <w:p w:rsidR="00457103" w:rsidRPr="00185C97" w:rsidRDefault="00B92B0F" w:rsidP="00185C9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определи за дата на влизане в сила 1 януари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2019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г.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 разрешено по-ранно прилагане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;</w:t>
                                    </w:r>
                                  </w:p>
                                  <w:p w:rsidR="00457103" w:rsidRPr="00185C97" w:rsidRDefault="00B92B0F" w:rsidP="00185C9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изисква ретроспективно прилагане на измененията, </w:t>
                                    </w:r>
                                    <w:r w:rsidR="00463F4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прилагайки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МСС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8,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при условие, че бъдат спазени изискванията за преход съгласно точка „в” по-долу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и</w:t>
                                    </w:r>
                                  </w:p>
                                  <w:p w:rsidR="00457103" w:rsidRPr="00185C97" w:rsidRDefault="00B92B0F" w:rsidP="00185C9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предостави изисквания </w:t>
                                    </w:r>
                                    <w:r w:rsidR="00D0070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за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преход, сходни с тези в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МСФО</w:t>
                                    </w:r>
                                    <w:r w:rsidR="0016767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относно класифицирането и оценяването на финансови активи за предприятия</w:t>
                                    </w:r>
                                    <w:r w:rsidR="00D0070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, прилагащи измененията, след като вече са приложили за първи път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МСФО</w:t>
                                    </w:r>
                                    <w:r w:rsidR="0016767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D0070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9.</w:t>
                                    </w:r>
                                  </w:p>
                                  <w:p w:rsidR="00457103" w:rsidRPr="00185C97" w:rsidRDefault="00ED5BB1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Всичките тринадесет членове на Съвета изразиха съгласие с тези решения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Следващи етапи</w:t>
                                    </w:r>
                                  </w:p>
                                  <w:p w:rsidR="00457103" w:rsidRPr="00185C97" w:rsidRDefault="00ED5BB1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На бъдещо свое заседание Съветът ще обсъди стъпките от регламентираната процедура и изискванията за преход по отношение на предприятията, прилагащи за първи път стандартите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24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:rsidR="00457103" w:rsidRPr="00185C97" w:rsidRDefault="00E20FC0" w:rsidP="00185C97">
                                    <w:pPr>
                                      <w:spacing w:after="24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bookmarkStart w:id="1" w:name="4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Лизинг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актуална информация във връзка с въвеждането и прилагането на стандарта</w:t>
                                    </w:r>
                                    <w:bookmarkEnd w:id="1"/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(</w:t>
                                    </w:r>
                                    <w:r w:rsidR="0045710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Документ по програмата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6)</w:t>
                                    </w:r>
                                  </w:p>
                                  <w:p w:rsidR="00457103" w:rsidRPr="00185C97" w:rsidRDefault="00BF268C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На 16 май 2017 г. Съветът проведе заседание</w:t>
                                    </w:r>
                                    <w:r w:rsidR="002865F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</w:t>
                                    </w:r>
                                    <w:r w:rsidR="002865F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за да бъде запознат с актуална информация във връзка с подкрепата за въвеждане и прилагане на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МСФО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16 </w:t>
                                    </w:r>
                                    <w:r w:rsidR="002865F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Лизинг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 </w:t>
                                    </w:r>
                                    <w:r w:rsidR="002865F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Тази актуална информация включваше сведения за дейностите по подкрепата и техния обхват, въпроси, получени от заинтересованите страни и планирани бъдещи действия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Следващи етапи</w:t>
                                    </w:r>
                                  </w:p>
                                  <w:p w:rsidR="00457103" w:rsidRPr="00185C97" w:rsidRDefault="002865FC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Съветът ще продължи да осъществява текущо наблюдение на напредъка във връзка с въвеждането и прилагането на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16767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МСФО</w:t>
                                    </w:r>
                                    <w:r w:rsidR="0016767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16.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24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:rsidR="00457103" w:rsidRPr="00185C97" w:rsidRDefault="00E20FC0" w:rsidP="00185C97">
                                    <w:pPr>
                                      <w:spacing w:after="24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Актуална информация във връзка с изследователските проекти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(</w:t>
                                    </w:r>
                                    <w:r w:rsidR="0045710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Документ по програмата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8)</w:t>
                                    </w:r>
                                  </w:p>
                                  <w:p w:rsidR="00457103" w:rsidRPr="00185C97" w:rsidRDefault="00BF268C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На 16 май 2017 г. Съветът проведе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заседание</w:t>
                                    </w:r>
                                    <w:r w:rsidR="00D275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, за да бъде запознат с актуална информация във </w:t>
                                    </w:r>
                                    <w:r w:rsidR="00D275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lastRenderedPageBreak/>
                                      <w:t>връзка с новите моменти в изследователската си програма</w:t>
                                    </w:r>
                                    <w:r w:rsidR="008F1F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, настъпили след проведеното през февруари 2017 г. заседание</w:t>
                                    </w:r>
                                    <w:proofErr w:type="gramEnd"/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 </w:t>
                                    </w:r>
                                    <w:r w:rsidR="008F1F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Информация </w:t>
                                    </w:r>
                                    <w:proofErr w:type="gramStart"/>
                                    <w:r w:rsidR="008F1F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относно</w:t>
                                    </w:r>
                                    <w:proofErr w:type="gramEnd"/>
                                    <w:r w:rsidR="008F1F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работната програма на Съвета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</w:t>
                                    </w:r>
                                    <w:r w:rsidR="008F1F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включително изследователската програма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</w:t>
                                    </w:r>
                                    <w:r w:rsidR="008F1F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е достъпна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proofErr w:type="gramStart"/>
                                      <w:r w:rsidR="008F1F75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8"/>
                                          <w:u w:val="single"/>
                                          <w:lang w:val="bg-BG" w:eastAsia="en-GB"/>
                                        </w:rPr>
                                        <w:t>тук</w:t>
                                      </w:r>
                                      <w:proofErr w:type="gramEnd"/>
                                    </w:hyperlink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8F1F75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Съветът отбеляза, че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  <w:p w:rsidR="00457103" w:rsidRPr="00185C97" w:rsidRDefault="008F1F75" w:rsidP="00185C97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работата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относно проекта, посветен на Бизнес комбинациите под общ контрол вероятно ще бъде подновена през второто тримесечие на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2017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година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;</w:t>
                                    </w:r>
                                  </w:p>
                                  <w:p w:rsidR="00457103" w:rsidRPr="00185C97" w:rsidRDefault="008F1F75" w:rsidP="00185C97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през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следващите няколко месеца няма да бъде осъществявана работа по изследователските проекти, изчакващи своя ред за разглеждане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и</w:t>
                                    </w:r>
                                  </w:p>
                                  <w:p w:rsidR="00457103" w:rsidRPr="00185C97" w:rsidRDefault="008F1F75" w:rsidP="00185C97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през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март 2017 година започна работа по предложението към активната изследователска програма да бъде добавен проект, посветен на преразглеждане на Изложението за практика „Коментар на ръководството”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Това е част от работата на Съвета, посветена на по-общото корпоративно отчитане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BF268C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От Съвета не бе поискано да взема каквито и да е решения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Следващи етапи</w:t>
                                    </w:r>
                                  </w:p>
                                  <w:p w:rsidR="00457103" w:rsidRPr="00185C97" w:rsidRDefault="00BF268C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Съветът трябва да получи следващата актуална информация във връзка с изследователската програма след около четири месеца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24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24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Репутация и обезценка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Документ по програмата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18)</w:t>
                                    </w:r>
                                  </w:p>
                                  <w:p w:rsidR="00457103" w:rsidRPr="00185C97" w:rsidRDefault="00BF268C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На 17 май 2017 г. Съветът проведе заседание, за да обсъди възможни опростявания на теста за обезценка в МСС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36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Обезценка на активи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BF268C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От Съвета не бе поискано да взема каквито и да е решения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8"/>
                                        <w:lang w:val="bg-BG" w:eastAsia="en-GB"/>
                                      </w:rPr>
                                      <w:t>Следващи етапи</w:t>
                                    </w:r>
                                  </w:p>
                                  <w:p w:rsidR="00457103" w:rsidRPr="00185C97" w:rsidRDefault="00BF268C" w:rsidP="00185C9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Съветът ще продължи обсъжданията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това дали е възможно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  <w:p w:rsidR="00457103" w:rsidRPr="00185C97" w:rsidRDefault="00BF268C" w:rsidP="00185C97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опрости и усъвършенства прилагането на теста за обезценка в МСС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36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, без това да доведе до загуба на информация за потребителите на финансовите отчети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и</w:t>
                                    </w:r>
                                  </w:p>
                                  <w:p w:rsidR="00457103" w:rsidRPr="00185C97" w:rsidRDefault="00BF268C" w:rsidP="00185C97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повиши качеството на информацията, предоставяна на потребителите, без да налага разходи, които биха могли да надвишат евентуалните ползи</w:t>
                                    </w:r>
                                    <w:r w:rsidR="00457103"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24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:rsidR="00457103" w:rsidRPr="00185C97" w:rsidRDefault="00457103" w:rsidP="00185C97">
                                    <w:pPr>
                                      <w:spacing w:after="24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Работна програма</w:t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en-US" w:eastAsia="en-GB"/>
                                      </w:rPr>
                                      <w:t>—</w:t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 xml:space="preserve">прогнозни цели към 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18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>май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2017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4"/>
                                        <w:szCs w:val="24"/>
                                        <w:lang w:val="bg-BG" w:eastAsia="en-GB"/>
                                      </w:rPr>
                                      <w:t xml:space="preserve"> година</w:t>
                                    </w:r>
                                    <w:r w:rsidRPr="00185C9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:rsidR="00457103" w:rsidRPr="00185C97" w:rsidRDefault="00457103" w:rsidP="00457103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Работната програма, отразяваща решенията, взети на това заседание е актуализирана на уебсайта на Съвета по международни счетоводни стандарти (IASB) на</w:t>
                                    </w:r>
                                    <w:r w:rsidRPr="0045710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en-US" w:eastAsia="en-GB"/>
                                      </w:rPr>
                                      <w:t xml:space="preserve"> 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18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>май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2017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val="bg-BG" w:eastAsia="en-GB"/>
                                      </w:rPr>
                                      <w:t xml:space="preserve"> г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hyperlink r:id="rId8" w:history="1"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8"/>
                                          <w:lang w:val="bg-BG" w:eastAsia="en-GB"/>
                                        </w:rPr>
                                        <w:t>Вижте я тук</w:t>
                                      </w:r>
                                    </w:hyperlink>
                                    <w:r w:rsidRPr="0018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457103" w:rsidRPr="00185C97" w:rsidRDefault="00457103" w:rsidP="00185C97">
                              <w:pPr>
                                <w:spacing w:after="24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185C9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br/>
                              </w:r>
                            </w:p>
                          </w:tc>
                        </w:tr>
                      </w:tbl>
                      <w:p w:rsidR="00457103" w:rsidRPr="00185C97" w:rsidRDefault="00457103" w:rsidP="00185C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185C97" w:rsidRPr="00185C97" w:rsidRDefault="00185C97" w:rsidP="0018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85C97" w:rsidRPr="00185C9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9D4E5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85C97" w:rsidRPr="00185C97" w:rsidRDefault="00457103" w:rsidP="00185C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F5F60"/>
                      <w:sz w:val="15"/>
                      <w:szCs w:val="15"/>
                      <w:lang w:eastAsia="en-GB"/>
                    </w:rPr>
                  </w:pPr>
                  <w:r w:rsidRPr="00457103">
                    <w:rPr>
                      <w:rFonts w:ascii="Arial" w:eastAsia="Times New Roman" w:hAnsi="Arial" w:cs="Arial"/>
                      <w:color w:val="5F5F60"/>
                      <w:sz w:val="15"/>
                      <w:szCs w:val="15"/>
                      <w:lang w:val="bg-BG" w:eastAsia="en-GB"/>
                    </w:rPr>
                    <w:lastRenderedPageBreak/>
                    <w:t>Моля отбележете, че информацията, публикувана в настоящия бюлетин произхожда от различни източници и е точна, доколкото това ни е известно. Съветът по международни счетоводни стандарти и Фондация МСФО обаче не носят отговорност за загуби, причинени на лице, което предприема действия или се въздържа от предприемането на действия, разчитайки на материалите в настоящата публикация, независимо дали тези загуби са причинени поради небрежност, или по друг начин</w:t>
                  </w:r>
                  <w:r w:rsidR="00185C97" w:rsidRPr="00185C97">
                    <w:rPr>
                      <w:rFonts w:ascii="Arial" w:eastAsia="Times New Roman" w:hAnsi="Arial" w:cs="Arial"/>
                      <w:color w:val="5F5F60"/>
                      <w:sz w:val="15"/>
                      <w:szCs w:val="15"/>
                      <w:lang w:eastAsia="en-GB"/>
                    </w:rPr>
                    <w:t>.</w:t>
                  </w:r>
                </w:p>
              </w:tc>
            </w:tr>
          </w:tbl>
          <w:p w:rsidR="00457103" w:rsidRPr="006C18E6" w:rsidRDefault="00457103" w:rsidP="00457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5"/>
                <w:szCs w:val="15"/>
                <w:lang w:val="bg-BG"/>
              </w:rPr>
            </w:pPr>
            <w:r w:rsidRPr="006C18E6">
              <w:rPr>
                <w:rFonts w:ascii="Arial" w:eastAsia="Times New Roman" w:hAnsi="Arial" w:cs="Arial"/>
                <w:color w:val="5F5F60"/>
                <w:sz w:val="15"/>
                <w:szCs w:val="15"/>
              </w:rPr>
              <w:lastRenderedPageBreak/>
              <w:t>Copyright © IFRS Foundation</w:t>
            </w:r>
            <w:r w:rsidRPr="006C18E6">
              <w:rPr>
                <w:rFonts w:ascii="Arial" w:eastAsia="Times New Roman" w:hAnsi="Arial" w:cs="Arial"/>
                <w:color w:val="5F5F60"/>
                <w:sz w:val="15"/>
                <w:szCs w:val="15"/>
              </w:rPr>
              <w:br/>
              <w:t>ISSN 1474-2675</w:t>
            </w:r>
          </w:p>
          <w:p w:rsidR="00457103" w:rsidRPr="006C18E6" w:rsidRDefault="00457103" w:rsidP="00457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5"/>
                <w:szCs w:val="15"/>
                <w:lang w:val="bg-BG"/>
              </w:rPr>
            </w:pPr>
            <w:r w:rsidRPr="006C18E6">
              <w:rPr>
                <w:rFonts w:ascii="Arial" w:eastAsia="Times New Roman" w:hAnsi="Arial" w:cs="Arial"/>
                <w:color w:val="5F5F60"/>
                <w:sz w:val="15"/>
                <w:szCs w:val="15"/>
                <w:lang w:val="bg-BG"/>
              </w:rPr>
              <w:t>Авторски права© Фондация МСФО</w:t>
            </w:r>
          </w:p>
          <w:p w:rsidR="00185C97" w:rsidRPr="00185C97" w:rsidRDefault="00457103" w:rsidP="00457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8"/>
                <w:szCs w:val="18"/>
                <w:lang w:eastAsia="en-GB"/>
              </w:rPr>
            </w:pPr>
            <w:r w:rsidRPr="006C18E6">
              <w:rPr>
                <w:rFonts w:ascii="Arial" w:eastAsia="Times New Roman" w:hAnsi="Arial" w:cs="Arial"/>
                <w:color w:val="5F5F60"/>
                <w:sz w:val="15"/>
                <w:szCs w:val="15"/>
                <w:lang w:val="bg-BG"/>
              </w:rPr>
              <w:t>ISSN 1474-2675</w:t>
            </w:r>
          </w:p>
        </w:tc>
      </w:tr>
    </w:tbl>
    <w:p w:rsidR="00FA49E9" w:rsidRDefault="00FA49E9"/>
    <w:sectPr w:rsidR="00FA49E9" w:rsidSect="00FA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4AA"/>
    <w:multiLevelType w:val="multilevel"/>
    <w:tmpl w:val="7DFA744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37F3"/>
    <w:multiLevelType w:val="multilevel"/>
    <w:tmpl w:val="FE90699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4F29"/>
    <w:multiLevelType w:val="multilevel"/>
    <w:tmpl w:val="769A722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9173D"/>
    <w:multiLevelType w:val="multilevel"/>
    <w:tmpl w:val="8E0C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43506"/>
    <w:multiLevelType w:val="multilevel"/>
    <w:tmpl w:val="BB42771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E31AB"/>
    <w:multiLevelType w:val="multilevel"/>
    <w:tmpl w:val="290C045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2770"/>
    <w:multiLevelType w:val="multilevel"/>
    <w:tmpl w:val="ECC2881C"/>
    <w:lvl w:ilvl="0">
      <w:start w:val="1"/>
      <w:numFmt w:val="russianLower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85C97"/>
    <w:rsid w:val="0012682A"/>
    <w:rsid w:val="00167673"/>
    <w:rsid w:val="00185C97"/>
    <w:rsid w:val="001A5CD7"/>
    <w:rsid w:val="002865FC"/>
    <w:rsid w:val="00296E79"/>
    <w:rsid w:val="002E6C49"/>
    <w:rsid w:val="00457103"/>
    <w:rsid w:val="00463F4B"/>
    <w:rsid w:val="004D75C1"/>
    <w:rsid w:val="005734EF"/>
    <w:rsid w:val="008F1F75"/>
    <w:rsid w:val="00A9540C"/>
    <w:rsid w:val="00AD5E61"/>
    <w:rsid w:val="00B92B0F"/>
    <w:rsid w:val="00BF268C"/>
    <w:rsid w:val="00D00700"/>
    <w:rsid w:val="00D2759C"/>
    <w:rsid w:val="00E20FC0"/>
    <w:rsid w:val="00ED5BB1"/>
    <w:rsid w:val="00F44073"/>
    <w:rsid w:val="00FA49E9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85C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5C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5C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/Current-Projects/IASB-Projects/Pages/IASB-Work-Pla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rs.org/Current-Projects/IASB-Projects/The-IASBs-Research-Programme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.amazonaws.com/ifrswebcontent/2017/IFRIC/May/IFRIC-Update-May-2017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1447</Words>
  <Characters>8335</Characters>
  <Application>Microsoft Office Word</Application>
  <DocSecurity>0</DocSecurity>
  <Lines>185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tvs</cp:lastModifiedBy>
  <cp:revision>12</cp:revision>
  <dcterms:created xsi:type="dcterms:W3CDTF">2017-05-22T04:00:00Z</dcterms:created>
  <dcterms:modified xsi:type="dcterms:W3CDTF">2017-05-22T06:01:00Z</dcterms:modified>
</cp:coreProperties>
</file>