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72"/>
      </w:tblGrid>
      <w:tr w:rsidR="003604F7" w:rsidRPr="003604F7" w:rsidTr="003604F7">
        <w:trPr>
          <w:tblCellSpacing w:w="0" w:type="dxa"/>
          <w:jc w:val="center"/>
        </w:trPr>
        <w:tc>
          <w:tcPr>
            <w:tcW w:w="0" w:type="auto"/>
            <w:shd w:val="clear" w:color="auto" w:fill="F0F6F9"/>
            <w:vAlign w:val="center"/>
            <w:hideMark/>
          </w:tcPr>
          <w:tbl>
            <w:tblPr>
              <w:tblW w:w="8229" w:type="dxa"/>
              <w:jc w:val="center"/>
              <w:tblCellSpacing w:w="0" w:type="dxa"/>
              <w:shd w:val="clear" w:color="auto" w:fill="FFFFFF"/>
              <w:tblCellMar>
                <w:left w:w="0" w:type="dxa"/>
                <w:right w:w="0" w:type="dxa"/>
              </w:tblCellMar>
              <w:tblLook w:val="04A0"/>
            </w:tblPr>
            <w:tblGrid>
              <w:gridCol w:w="9072"/>
            </w:tblGrid>
            <w:tr w:rsidR="003604F7" w:rsidRPr="003604F7">
              <w:trPr>
                <w:tblCellSpacing w:w="0" w:type="dxa"/>
                <w:jc w:val="center"/>
              </w:trPr>
              <w:tc>
                <w:tcPr>
                  <w:tcW w:w="274" w:type="dxa"/>
                  <w:shd w:val="clear" w:color="auto" w:fill="FFFFFF"/>
                  <w:vAlign w:val="center"/>
                  <w:hideMark/>
                </w:tcPr>
                <w:p w:rsidR="003604F7" w:rsidRPr="000A09FA" w:rsidRDefault="003604F7" w:rsidP="003604F7">
                  <w:pPr>
                    <w:spacing w:after="0" w:line="240" w:lineRule="auto"/>
                    <w:rPr>
                      <w:rFonts w:ascii="Times New Roman" w:eastAsia="Times New Roman" w:hAnsi="Times New Roman" w:cs="Times New Roman"/>
                      <w:sz w:val="24"/>
                      <w:szCs w:val="24"/>
                      <w:lang w:val="bg-BG" w:eastAsia="en-GB"/>
                    </w:rPr>
                  </w:pPr>
                </w:p>
              </w:tc>
            </w:tr>
            <w:tr w:rsidR="003604F7" w:rsidRPr="003604F7">
              <w:trPr>
                <w:tblCellSpacing w:w="0" w:type="dxa"/>
                <w:jc w:val="center"/>
              </w:trPr>
              <w:tc>
                <w:tcPr>
                  <w:tcW w:w="0" w:type="auto"/>
                  <w:shd w:val="clear" w:color="auto" w:fill="FFFFFF"/>
                  <w:vAlign w:val="center"/>
                  <w:hideMark/>
                </w:tcPr>
                <w:tbl>
                  <w:tblPr>
                    <w:tblW w:w="9072" w:type="dxa"/>
                    <w:tblCellSpacing w:w="0" w:type="dxa"/>
                    <w:shd w:val="clear" w:color="auto" w:fill="FFFFFF"/>
                    <w:tblCellMar>
                      <w:left w:w="0" w:type="dxa"/>
                      <w:right w:w="0" w:type="dxa"/>
                    </w:tblCellMar>
                    <w:tblLook w:val="04A0"/>
                  </w:tblPr>
                  <w:tblGrid>
                    <w:gridCol w:w="6893"/>
                    <w:gridCol w:w="2179"/>
                  </w:tblGrid>
                  <w:tr w:rsidR="003604F7" w:rsidRPr="003604F7" w:rsidTr="00942D16">
                    <w:trPr>
                      <w:tblCellSpacing w:w="0" w:type="dxa"/>
                    </w:trPr>
                    <w:tc>
                      <w:tcPr>
                        <w:tcW w:w="0" w:type="auto"/>
                        <w:gridSpan w:val="2"/>
                        <w:shd w:val="clear" w:color="auto" w:fill="FFFFFF"/>
                        <w:vAlign w:val="center"/>
                        <w:hideMark/>
                      </w:tcPr>
                      <w:p w:rsidR="003604F7" w:rsidRPr="003604F7" w:rsidRDefault="003604F7" w:rsidP="003604F7">
                        <w:pPr>
                          <w:spacing w:after="0" w:line="240" w:lineRule="auto"/>
                          <w:rPr>
                            <w:rFonts w:ascii="Times New Roman" w:eastAsia="Times New Roman" w:hAnsi="Times New Roman" w:cs="Times New Roman"/>
                            <w:sz w:val="24"/>
                            <w:szCs w:val="24"/>
                            <w:lang w:eastAsia="en-GB"/>
                          </w:rPr>
                        </w:pPr>
                      </w:p>
                    </w:tc>
                  </w:tr>
                  <w:tr w:rsidR="00942D16" w:rsidRPr="003604F7" w:rsidTr="00942D16">
                    <w:trPr>
                      <w:tblCellSpacing w:w="0" w:type="dxa"/>
                    </w:trPr>
                    <w:tc>
                      <w:tcPr>
                        <w:tcW w:w="9059" w:type="dxa"/>
                        <w:shd w:val="clear" w:color="auto" w:fill="8D8F8E"/>
                        <w:vAlign w:val="center"/>
                        <w:hideMark/>
                      </w:tcPr>
                      <w:p w:rsidR="00942D16" w:rsidRPr="004D016C" w:rsidRDefault="00942D16" w:rsidP="00CF3E91">
                        <w:pPr>
                          <w:ind w:left="259" w:right="50"/>
                          <w:rPr>
                            <w:rFonts w:ascii="Arial" w:hAnsi="Arial" w:cs="Arial"/>
                            <w:color w:val="FFFFFF"/>
                            <w:sz w:val="20"/>
                            <w:szCs w:val="20"/>
                            <w:lang w:val="bg-BG"/>
                          </w:rPr>
                        </w:pPr>
                      </w:p>
                      <w:p w:rsidR="00942D16" w:rsidRPr="004D016C" w:rsidRDefault="00942D16" w:rsidP="00CF3E91">
                        <w:pPr>
                          <w:ind w:left="259" w:right="50"/>
                          <w:rPr>
                            <w:rFonts w:ascii="Arial" w:hAnsi="Arial" w:cs="Arial"/>
                            <w:b/>
                            <w:bCs/>
                            <w:color w:val="FFFFFF"/>
                            <w:sz w:val="28"/>
                            <w:szCs w:val="28"/>
                            <w:lang w:val="bg-BG"/>
                          </w:rPr>
                        </w:pPr>
                        <w:r w:rsidRPr="004D016C">
                          <w:rPr>
                            <w:rFonts w:ascii="Arial" w:hAnsi="Arial" w:cs="Arial"/>
                            <w:b/>
                            <w:bCs/>
                            <w:color w:val="FFFFFF"/>
                            <w:sz w:val="28"/>
                            <w:szCs w:val="28"/>
                            <w:lang w:val="bg-BG"/>
                          </w:rPr>
                          <w:t>Съвет по международни счетоводни стандарти</w:t>
                        </w:r>
                      </w:p>
                      <w:p w:rsidR="00942D16" w:rsidRPr="004D016C" w:rsidRDefault="00942D16" w:rsidP="00CF3E91">
                        <w:pPr>
                          <w:ind w:left="259" w:right="50"/>
                          <w:rPr>
                            <w:rFonts w:ascii="Arial" w:hAnsi="Arial" w:cs="Arial"/>
                            <w:color w:val="FFFFFF"/>
                            <w:sz w:val="20"/>
                            <w:szCs w:val="20"/>
                            <w:lang w:val="bg-BG"/>
                          </w:rPr>
                        </w:pPr>
                        <w:r w:rsidRPr="004D016C">
                          <w:rPr>
                            <w:rFonts w:ascii="Arial" w:hAnsi="Arial" w:cs="Arial"/>
                            <w:b/>
                            <w:bCs/>
                            <w:color w:val="FFFFFF"/>
                            <w:sz w:val="20"/>
                            <w:szCs w:val="20"/>
                            <w:lang w:val="bg-BG"/>
                          </w:rPr>
                          <w:t>Периодичен преглед</w:t>
                        </w:r>
                      </w:p>
                    </w:tc>
                    <w:tc>
                      <w:tcPr>
                        <w:tcW w:w="0" w:type="auto"/>
                        <w:shd w:val="clear" w:color="auto" w:fill="FFFFFF"/>
                        <w:vAlign w:val="center"/>
                        <w:hideMark/>
                      </w:tcPr>
                      <w:p w:rsidR="00942D16" w:rsidRPr="004D016C" w:rsidRDefault="00942D16" w:rsidP="00CF3E91">
                        <w:pPr>
                          <w:ind w:left="259" w:right="50"/>
                          <w:rPr>
                            <w:rFonts w:ascii="Arial" w:hAnsi="Arial" w:cs="Arial"/>
                            <w:sz w:val="20"/>
                            <w:szCs w:val="20"/>
                            <w:lang w:val="bg-BG"/>
                          </w:rPr>
                        </w:pPr>
                        <w:r w:rsidRPr="004D016C">
                          <w:rPr>
                            <w:rFonts w:ascii="Arial" w:hAnsi="Arial" w:cs="Arial"/>
                            <w:noProof/>
                            <w:sz w:val="20"/>
                            <w:szCs w:val="20"/>
                            <w:lang w:eastAsia="en-GB"/>
                          </w:rPr>
                          <w:drawing>
                            <wp:inline distT="0" distB="0" distL="0" distR="0">
                              <wp:extent cx="1351915" cy="246380"/>
                              <wp:effectExtent l="19050" t="0" r="635" b="0"/>
                              <wp:docPr id="4" name="Picture 3" descr="I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B Logo"/>
                                      <pic:cNvPicPr>
                                        <a:picLocks noChangeAspect="1" noChangeArrowheads="1"/>
                                      </pic:cNvPicPr>
                                    </pic:nvPicPr>
                                    <pic:blipFill>
                                      <a:blip r:embed="rId5" cstate="print"/>
                                      <a:srcRect/>
                                      <a:stretch>
                                        <a:fillRect/>
                                      </a:stretch>
                                    </pic:blipFill>
                                    <pic:spPr bwMode="auto">
                                      <a:xfrm>
                                        <a:off x="0" y="0"/>
                                        <a:ext cx="1351915" cy="246380"/>
                                      </a:xfrm>
                                      <a:prstGeom prst="rect">
                                        <a:avLst/>
                                      </a:prstGeom>
                                      <a:noFill/>
                                      <a:ln w="9525">
                                        <a:noFill/>
                                        <a:miter lim="800000"/>
                                        <a:headEnd/>
                                        <a:tailEnd/>
                                      </a:ln>
                                    </pic:spPr>
                                  </pic:pic>
                                </a:graphicData>
                              </a:graphic>
                            </wp:inline>
                          </w:drawing>
                        </w:r>
                      </w:p>
                    </w:tc>
                  </w:tr>
                  <w:tr w:rsidR="00942D16" w:rsidRPr="003604F7" w:rsidTr="00942D16">
                    <w:trPr>
                      <w:tblCellSpacing w:w="0" w:type="dxa"/>
                    </w:trPr>
                    <w:tc>
                      <w:tcPr>
                        <w:tcW w:w="0" w:type="auto"/>
                        <w:gridSpan w:val="2"/>
                        <w:tcBorders>
                          <w:top w:val="single" w:sz="12" w:space="0" w:color="FFFFFF"/>
                        </w:tcBorders>
                        <w:shd w:val="clear" w:color="auto" w:fill="B9D4E5"/>
                        <w:tcMar>
                          <w:top w:w="27" w:type="dxa"/>
                          <w:left w:w="0" w:type="dxa"/>
                          <w:bottom w:w="27" w:type="dxa"/>
                          <w:right w:w="206" w:type="dxa"/>
                        </w:tcMar>
                        <w:vAlign w:val="center"/>
                        <w:hideMark/>
                      </w:tcPr>
                      <w:p w:rsidR="00942D16" w:rsidRPr="00457103" w:rsidRDefault="00942D16" w:rsidP="00942D16">
                        <w:pPr>
                          <w:spacing w:after="0" w:line="240" w:lineRule="auto"/>
                          <w:jc w:val="right"/>
                          <w:rPr>
                            <w:rFonts w:ascii="Arial" w:eastAsia="Times New Roman" w:hAnsi="Arial" w:cs="Arial"/>
                            <w:color w:val="464646"/>
                            <w:sz w:val="18"/>
                            <w:szCs w:val="18"/>
                            <w:lang w:val="bg-BG" w:eastAsia="en-GB"/>
                          </w:rPr>
                        </w:pPr>
                        <w:r>
                          <w:rPr>
                            <w:rFonts w:ascii="Arial" w:eastAsia="Times New Roman" w:hAnsi="Arial" w:cs="Arial"/>
                            <w:b/>
                            <w:bCs/>
                            <w:color w:val="464646"/>
                            <w:sz w:val="18"/>
                            <w:szCs w:val="18"/>
                            <w:lang w:val="bg-BG" w:eastAsia="en-GB"/>
                          </w:rPr>
                          <w:t>Юни</w:t>
                        </w:r>
                        <w:r w:rsidRPr="00185C97">
                          <w:rPr>
                            <w:rFonts w:ascii="Arial" w:eastAsia="Times New Roman" w:hAnsi="Arial" w:cs="Arial"/>
                            <w:b/>
                            <w:bCs/>
                            <w:color w:val="464646"/>
                            <w:sz w:val="18"/>
                            <w:szCs w:val="18"/>
                            <w:lang w:eastAsia="en-GB"/>
                          </w:rPr>
                          <w:t xml:space="preserve"> 2017</w:t>
                        </w:r>
                        <w:r>
                          <w:rPr>
                            <w:rFonts w:ascii="Arial" w:eastAsia="Times New Roman" w:hAnsi="Arial" w:cs="Arial"/>
                            <w:b/>
                            <w:bCs/>
                            <w:color w:val="464646"/>
                            <w:sz w:val="18"/>
                            <w:szCs w:val="18"/>
                            <w:lang w:val="bg-BG" w:eastAsia="en-GB"/>
                          </w:rPr>
                          <w:t xml:space="preserve"> г.</w:t>
                        </w:r>
                      </w:p>
                    </w:tc>
                  </w:tr>
                  <w:tr w:rsidR="003604F7" w:rsidRPr="003604F7" w:rsidTr="00942D16">
                    <w:trPr>
                      <w:trHeight w:val="300"/>
                      <w:tblCellSpacing w:w="0" w:type="dxa"/>
                    </w:trPr>
                    <w:tc>
                      <w:tcPr>
                        <w:tcW w:w="0" w:type="auto"/>
                        <w:gridSpan w:val="2"/>
                        <w:shd w:val="clear" w:color="auto" w:fill="FFFFFF"/>
                        <w:vAlign w:val="center"/>
                        <w:hideMark/>
                      </w:tcPr>
                      <w:p w:rsidR="003604F7" w:rsidRPr="003604F7" w:rsidRDefault="003604F7" w:rsidP="003604F7">
                        <w:pPr>
                          <w:spacing w:after="0" w:line="240" w:lineRule="auto"/>
                          <w:rPr>
                            <w:rFonts w:ascii="Times New Roman" w:eastAsia="Times New Roman" w:hAnsi="Times New Roman" w:cs="Times New Roman"/>
                            <w:sz w:val="24"/>
                            <w:szCs w:val="24"/>
                            <w:lang w:eastAsia="en-GB"/>
                          </w:rPr>
                        </w:pPr>
                      </w:p>
                    </w:tc>
                  </w:tr>
                  <w:tr w:rsidR="003604F7" w:rsidRPr="003604F7" w:rsidTr="00942D16">
                    <w:trPr>
                      <w:tblCellSpacing w:w="0" w:type="dxa"/>
                    </w:trPr>
                    <w:tc>
                      <w:tcPr>
                        <w:tcW w:w="0" w:type="auto"/>
                        <w:gridSpan w:val="2"/>
                        <w:shd w:val="clear" w:color="auto" w:fill="FFFFFF"/>
                        <w:vAlign w:val="center"/>
                        <w:hideMark/>
                      </w:tcPr>
                      <w:tbl>
                        <w:tblPr>
                          <w:tblpPr w:leftFromText="45" w:rightFromText="45" w:vertAnchor="text"/>
                          <w:tblW w:w="0" w:type="auto"/>
                          <w:tblCellSpacing w:w="0" w:type="dxa"/>
                          <w:tblCellMar>
                            <w:left w:w="137" w:type="dxa"/>
                            <w:right w:w="0" w:type="dxa"/>
                          </w:tblCellMar>
                          <w:tblLook w:val="04A0"/>
                        </w:tblPr>
                        <w:tblGrid>
                          <w:gridCol w:w="9072"/>
                        </w:tblGrid>
                        <w:tr w:rsidR="003604F7" w:rsidRPr="003604F7">
                          <w:trPr>
                            <w:tblCellSpacing w:w="0" w:type="dxa"/>
                          </w:trPr>
                          <w:tc>
                            <w:tcPr>
                              <w:tcW w:w="9000" w:type="dxa"/>
                              <w:vAlign w:val="center"/>
                              <w:hideMark/>
                            </w:tcPr>
                            <w:tbl>
                              <w:tblPr>
                                <w:tblW w:w="10050" w:type="dxa"/>
                                <w:tblCellSpacing w:w="0" w:type="dxa"/>
                                <w:tblCellMar>
                                  <w:left w:w="0" w:type="dxa"/>
                                  <w:right w:w="0" w:type="dxa"/>
                                </w:tblCellMar>
                                <w:tblLook w:val="04A0"/>
                              </w:tblPr>
                              <w:tblGrid>
                                <w:gridCol w:w="10044"/>
                                <w:gridCol w:w="6"/>
                              </w:tblGrid>
                              <w:tr w:rsidR="003604F7" w:rsidRPr="003604F7">
                                <w:trPr>
                                  <w:tblCellSpacing w:w="0" w:type="dxa"/>
                                </w:trPr>
                                <w:tc>
                                  <w:tcPr>
                                    <w:tcW w:w="5000" w:type="pct"/>
                                    <w:tcBorders>
                                      <w:bottom w:val="single" w:sz="2" w:space="0" w:color="C2C2C4"/>
                                    </w:tcBorders>
                                    <w:hideMark/>
                                  </w:tcPr>
                                  <w:p w:rsidR="003604F7" w:rsidRPr="003604F7" w:rsidRDefault="00942D16" w:rsidP="003604F7">
                                    <w:pPr>
                                      <w:spacing w:after="0" w:line="247" w:lineRule="atLeast"/>
                                      <w:ind w:right="978"/>
                                      <w:rPr>
                                        <w:rFonts w:ascii="Times New Roman" w:eastAsia="Times New Roman" w:hAnsi="Times New Roman" w:cs="Times New Roman"/>
                                        <w:sz w:val="24"/>
                                        <w:szCs w:val="24"/>
                                        <w:lang w:eastAsia="en-GB"/>
                                      </w:rPr>
                                    </w:pPr>
                                    <w:r w:rsidRPr="00942D16">
                                      <w:rPr>
                                        <w:rFonts w:ascii="Arial" w:eastAsia="Times New Roman" w:hAnsi="Arial" w:cs="Arial"/>
                                        <w:color w:val="5F5F60"/>
                                        <w:sz w:val="17"/>
                                        <w:szCs w:val="17"/>
                                        <w:lang w:val="bg-BG" w:eastAsia="en-GB"/>
                                      </w:rPr>
                                      <w:t xml:space="preserve">Настоящият бюлетин на </w:t>
                                    </w:r>
                                    <w:proofErr w:type="gramStart"/>
                                    <w:r w:rsidRPr="00942D16">
                                      <w:rPr>
                                        <w:rFonts w:ascii="Arial" w:eastAsia="Times New Roman" w:hAnsi="Arial" w:cs="Arial"/>
                                        <w:color w:val="5F5F60"/>
                                        <w:sz w:val="17"/>
                                        <w:szCs w:val="17"/>
                                        <w:lang w:val="bg-BG" w:eastAsia="en-GB"/>
                                      </w:rPr>
                                      <w:t>Съвета по международни счетоводни стандарти (IASB) (”Съветът”) представя предварителните решения на Съвета</w:t>
                                    </w:r>
                                    <w:proofErr w:type="gramEnd"/>
                                    <w:r w:rsidRPr="00942D16">
                                      <w:rPr>
                                        <w:rFonts w:ascii="Arial" w:eastAsia="Times New Roman" w:hAnsi="Arial" w:cs="Arial"/>
                                        <w:color w:val="5F5F60"/>
                                        <w:sz w:val="17"/>
                                        <w:szCs w:val="17"/>
                                        <w:lang w:val="bg-BG" w:eastAsia="en-GB"/>
                                      </w:rPr>
                                      <w:t xml:space="preserve">. Окончателните решения на Съвета по международни счетоводни стандарти </w:t>
                                    </w:r>
                                    <w:proofErr w:type="gramStart"/>
                                    <w:r w:rsidRPr="00942D16">
                                      <w:rPr>
                                        <w:rFonts w:ascii="Arial" w:eastAsia="Times New Roman" w:hAnsi="Arial" w:cs="Arial"/>
                                        <w:color w:val="5F5F60"/>
                                        <w:sz w:val="17"/>
                                        <w:szCs w:val="17"/>
                                        <w:lang w:val="bg-BG" w:eastAsia="en-GB"/>
                                      </w:rPr>
                                      <w:t>относно</w:t>
                                    </w:r>
                                    <w:proofErr w:type="gramEnd"/>
                                    <w:r w:rsidRPr="00942D16">
                                      <w:rPr>
                                        <w:rFonts w:ascii="Arial" w:eastAsia="Times New Roman" w:hAnsi="Arial" w:cs="Arial"/>
                                        <w:color w:val="5F5F60"/>
                                        <w:sz w:val="17"/>
                                        <w:szCs w:val="17"/>
                                        <w:lang w:val="bg-BG" w:eastAsia="en-GB"/>
                                      </w:rPr>
                                      <w:t xml:space="preserve"> стандарти, изменения и разяснения се подлагат на официално гласуване, съгласно предвиденото в </w:t>
                                    </w:r>
                                    <w:r w:rsidRPr="00942D16">
                                      <w:rPr>
                                        <w:rFonts w:ascii="Arial" w:eastAsia="Times New Roman" w:hAnsi="Arial" w:cs="Arial"/>
                                        <w:i/>
                                        <w:color w:val="5F5F60"/>
                                        <w:sz w:val="17"/>
                                        <w:szCs w:val="17"/>
                                        <w:lang w:val="bg-BG" w:eastAsia="en-GB"/>
                                      </w:rPr>
                                      <w:t>Ръководството по регламентираната процедура</w:t>
                                    </w:r>
                                    <w:r w:rsidRPr="00942D16">
                                      <w:rPr>
                                        <w:rFonts w:ascii="Arial" w:eastAsia="Times New Roman" w:hAnsi="Arial" w:cs="Arial"/>
                                        <w:color w:val="5F5F60"/>
                                        <w:sz w:val="17"/>
                                        <w:szCs w:val="17"/>
                                        <w:lang w:val="bg-BG" w:eastAsia="en-GB"/>
                                      </w:rPr>
                                      <w:t xml:space="preserve"> на Фондация МСФО (</w:t>
                                    </w:r>
                                    <w:r w:rsidRPr="00942D16">
                                      <w:rPr>
                                        <w:rFonts w:ascii="Arial" w:eastAsia="Times New Roman" w:hAnsi="Arial" w:cs="Arial"/>
                                        <w:color w:val="5F5F60"/>
                                        <w:sz w:val="17"/>
                                        <w:szCs w:val="17"/>
                                        <w:lang w:val="en-US" w:eastAsia="en-GB"/>
                                      </w:rPr>
                                      <w:t xml:space="preserve">IFRS </w:t>
                                    </w:r>
                                    <w:r w:rsidRPr="00942D16">
                                      <w:rPr>
                                        <w:rFonts w:ascii="Arial" w:eastAsia="Times New Roman" w:hAnsi="Arial" w:cs="Arial"/>
                                        <w:color w:val="5F5F60"/>
                                        <w:sz w:val="17"/>
                                        <w:szCs w:val="17"/>
                                        <w:vertAlign w:val="superscript"/>
                                        <w:lang w:val="bg-BG" w:eastAsia="en-GB"/>
                                      </w:rPr>
                                      <w:t>®</w:t>
                                    </w:r>
                                    <w:r w:rsidRPr="00942D16">
                                      <w:rPr>
                                        <w:rFonts w:ascii="Arial" w:eastAsia="Times New Roman" w:hAnsi="Arial" w:cs="Arial"/>
                                        <w:color w:val="5F5F60"/>
                                        <w:sz w:val="17"/>
                                        <w:szCs w:val="17"/>
                                        <w:lang w:val="bg-BG" w:eastAsia="en-GB"/>
                                      </w:rPr>
                                      <w:t xml:space="preserve"> Foundation) и Комитета по разясненията на МСФО</w:t>
                                    </w:r>
                                    <w:r w:rsidR="003604F7" w:rsidRPr="003604F7">
                                      <w:rPr>
                                        <w:rFonts w:ascii="Arial" w:eastAsia="Times New Roman" w:hAnsi="Arial" w:cs="Arial"/>
                                        <w:color w:val="5F5F60"/>
                                        <w:sz w:val="17"/>
                                        <w:szCs w:val="17"/>
                                        <w:lang w:eastAsia="en-GB"/>
                                      </w:rPr>
                                      <w:t xml:space="preserve">. </w:t>
                                    </w:r>
                                    <w:r w:rsidR="003604F7" w:rsidRPr="003604F7">
                                      <w:rPr>
                                        <w:rFonts w:ascii="Arial" w:eastAsia="Times New Roman" w:hAnsi="Arial" w:cs="Arial"/>
                                        <w:color w:val="5F5F60"/>
                                        <w:sz w:val="17"/>
                                        <w:szCs w:val="17"/>
                                        <w:lang w:eastAsia="en-GB"/>
                                      </w:rPr>
                                      <w:br/>
                                    </w:r>
                                    <w:r w:rsidR="003604F7" w:rsidRPr="003604F7">
                                      <w:rPr>
                                        <w:rFonts w:ascii="Arial" w:eastAsia="Times New Roman" w:hAnsi="Arial" w:cs="Arial"/>
                                        <w:color w:val="5F5F60"/>
                                        <w:sz w:val="17"/>
                                        <w:szCs w:val="17"/>
                                        <w:lang w:eastAsia="en-GB"/>
                                      </w:rPr>
                                      <w:br/>
                                    </w:r>
                                    <w:r>
                                      <w:rPr>
                                        <w:rFonts w:ascii="Arial" w:eastAsia="Times New Roman" w:hAnsi="Arial" w:cs="Arial"/>
                                        <w:color w:val="5F5F60"/>
                                        <w:sz w:val="17"/>
                                        <w:szCs w:val="17"/>
                                        <w:lang w:val="bg-BG" w:eastAsia="en-GB"/>
                                      </w:rPr>
                                      <w:t>На 21 юни 2017 г., сряда, и 22 юни 2017 г., четвъртък,</w:t>
                                    </w:r>
                                    <w:r w:rsidR="003604F7" w:rsidRPr="003604F7">
                                      <w:rPr>
                                        <w:rFonts w:ascii="Arial" w:eastAsia="Times New Roman" w:hAnsi="Arial" w:cs="Arial"/>
                                        <w:color w:val="5F5F60"/>
                                        <w:sz w:val="17"/>
                                        <w:szCs w:val="17"/>
                                        <w:lang w:eastAsia="en-GB"/>
                                      </w:rPr>
                                      <w:t xml:space="preserve"> </w:t>
                                    </w:r>
                                    <w:r w:rsidRPr="00942D16">
                                      <w:rPr>
                                        <w:rFonts w:ascii="Arial" w:eastAsia="Times New Roman" w:hAnsi="Arial" w:cs="Arial"/>
                                        <w:color w:val="5F5F60"/>
                                        <w:sz w:val="17"/>
                                        <w:szCs w:val="17"/>
                                        <w:lang w:val="bg-BG" w:eastAsia="en-GB"/>
                                      </w:rPr>
                                      <w:t>Съветът проведе публични заседания в офисите на Фондация МСФО в Лондон, Великобритания</w:t>
                                    </w:r>
                                    <w:r w:rsidR="003604F7" w:rsidRPr="003604F7">
                                      <w:rPr>
                                        <w:rFonts w:ascii="Arial" w:eastAsia="Times New Roman" w:hAnsi="Arial" w:cs="Arial"/>
                                        <w:color w:val="5F5F60"/>
                                        <w:sz w:val="17"/>
                                        <w:szCs w:val="17"/>
                                        <w:lang w:eastAsia="en-GB"/>
                                      </w:rPr>
                                      <w:t>.</w:t>
                                    </w:r>
                                    <w:r w:rsidR="003604F7" w:rsidRPr="003604F7">
                                      <w:rPr>
                                        <w:rFonts w:ascii="Arial" w:eastAsia="Times New Roman" w:hAnsi="Arial" w:cs="Arial"/>
                                        <w:color w:val="5F5F60"/>
                                        <w:sz w:val="17"/>
                                        <w:szCs w:val="17"/>
                                        <w:lang w:eastAsia="en-GB"/>
                                      </w:rPr>
                                      <w:br/>
                                    </w:r>
                                    <w:r w:rsidR="003604F7" w:rsidRPr="003604F7">
                                      <w:rPr>
                                        <w:rFonts w:ascii="Arial" w:eastAsia="Times New Roman" w:hAnsi="Arial" w:cs="Arial"/>
                                        <w:color w:val="5F5F60"/>
                                        <w:sz w:val="17"/>
                                        <w:szCs w:val="17"/>
                                        <w:lang w:eastAsia="en-GB"/>
                                      </w:rPr>
                                      <w:br/>
                                    </w:r>
                                    <w:r>
                                      <w:rPr>
                                        <w:rFonts w:ascii="Arial" w:eastAsia="Times New Roman" w:hAnsi="Arial" w:cs="Arial"/>
                                        <w:color w:val="5F5F60"/>
                                        <w:sz w:val="17"/>
                                        <w:szCs w:val="17"/>
                                        <w:lang w:val="bg-BG" w:eastAsia="en-GB"/>
                                      </w:rPr>
                                      <w:t>Обсъжданите теми включваха</w:t>
                                    </w:r>
                                    <w:r w:rsidR="003604F7" w:rsidRPr="003604F7">
                                      <w:rPr>
                                        <w:rFonts w:ascii="Arial" w:eastAsia="Times New Roman" w:hAnsi="Arial" w:cs="Arial"/>
                                        <w:color w:val="5F5F60"/>
                                        <w:sz w:val="17"/>
                                        <w:szCs w:val="17"/>
                                        <w:lang w:eastAsia="en-GB"/>
                                      </w:rPr>
                                      <w:t>:</w:t>
                                    </w:r>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1" w:history="1">
                                      <w:r w:rsidR="00942D16">
                                        <w:rPr>
                                          <w:rFonts w:ascii="Arial" w:eastAsia="Times New Roman" w:hAnsi="Arial" w:cs="Arial"/>
                                          <w:b/>
                                          <w:bCs/>
                                          <w:color w:val="40688E"/>
                                          <w:sz w:val="17"/>
                                          <w:lang w:val="bg-BG" w:eastAsia="en-GB"/>
                                        </w:rPr>
                                        <w:t>Концептуална рамка</w:t>
                                      </w:r>
                                    </w:hyperlink>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2" w:history="1">
                                      <w:r w:rsidR="00942D16">
                                        <w:rPr>
                                          <w:rFonts w:ascii="Arial" w:eastAsia="Times New Roman" w:hAnsi="Arial" w:cs="Arial"/>
                                          <w:b/>
                                          <w:bCs/>
                                          <w:color w:val="40688E"/>
                                          <w:sz w:val="17"/>
                                          <w:lang w:val="bg-BG" w:eastAsia="en-GB"/>
                                        </w:rPr>
                                        <w:t>Счетоводни политики и счетоводни приблизителни оценки</w:t>
                                      </w:r>
                                      <w:r w:rsidR="003604F7" w:rsidRPr="003604F7">
                                        <w:rPr>
                                          <w:rFonts w:ascii="Arial" w:eastAsia="Times New Roman" w:hAnsi="Arial" w:cs="Arial"/>
                                          <w:b/>
                                          <w:bCs/>
                                          <w:color w:val="40688E"/>
                                          <w:sz w:val="17"/>
                                          <w:lang w:eastAsia="en-GB"/>
                                        </w:rPr>
                                        <w:t xml:space="preserve"> (</w:t>
                                      </w:r>
                                      <w:r w:rsidR="00942D16">
                                        <w:rPr>
                                          <w:rFonts w:ascii="Arial" w:eastAsia="Times New Roman" w:hAnsi="Arial" w:cs="Arial"/>
                                          <w:b/>
                                          <w:bCs/>
                                          <w:color w:val="40688E"/>
                                          <w:sz w:val="17"/>
                                          <w:lang w:val="bg-BG" w:eastAsia="en-GB"/>
                                        </w:rPr>
                                        <w:t>предложени изменения в МСС</w:t>
                                      </w:r>
                                      <w:r w:rsidR="003604F7" w:rsidRPr="003604F7">
                                        <w:rPr>
                                          <w:rFonts w:ascii="Arial" w:eastAsia="Times New Roman" w:hAnsi="Arial" w:cs="Arial"/>
                                          <w:b/>
                                          <w:bCs/>
                                          <w:color w:val="40688E"/>
                                          <w:sz w:val="17"/>
                                          <w:lang w:eastAsia="en-GB"/>
                                        </w:rPr>
                                        <w:t xml:space="preserve"> 8)</w:t>
                                      </w:r>
                                    </w:hyperlink>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3" w:history="1">
                                      <w:r w:rsidR="00942D16">
                                        <w:rPr>
                                          <w:rFonts w:ascii="Arial" w:eastAsia="Times New Roman" w:hAnsi="Arial" w:cs="Arial"/>
                                          <w:b/>
                                          <w:bCs/>
                                          <w:color w:val="40688E"/>
                                          <w:sz w:val="17"/>
                                          <w:lang w:val="bg-BG" w:eastAsia="en-GB"/>
                                        </w:rPr>
                                        <w:t>Основни финансови отчети</w:t>
                                      </w:r>
                                    </w:hyperlink>
                                  </w:p>
                                  <w:p w:rsidR="003604F7" w:rsidRPr="00942D16" w:rsidRDefault="006C5BDD" w:rsidP="003604F7">
                                    <w:pPr>
                                      <w:numPr>
                                        <w:ilvl w:val="0"/>
                                        <w:numId w:val="1"/>
                                      </w:numPr>
                                      <w:spacing w:before="100" w:beforeAutospacing="1" w:after="100" w:afterAutospacing="1" w:line="247" w:lineRule="atLeast"/>
                                      <w:ind w:right="978"/>
                                      <w:rPr>
                                        <w:rFonts w:ascii="Arial" w:eastAsia="Times New Roman" w:hAnsi="Arial" w:cs="Arial"/>
                                        <w:b/>
                                        <w:bCs/>
                                        <w:color w:val="40688E"/>
                                        <w:sz w:val="17"/>
                                        <w:lang w:val="bg-BG" w:eastAsia="en-GB"/>
                                      </w:rPr>
                                    </w:pPr>
                                    <w:hyperlink w:anchor="4" w:history="1">
                                      <w:r w:rsidR="00942D16">
                                        <w:rPr>
                                          <w:rFonts w:ascii="Arial" w:eastAsia="Times New Roman" w:hAnsi="Arial" w:cs="Arial"/>
                                          <w:b/>
                                          <w:bCs/>
                                          <w:color w:val="40688E"/>
                                          <w:sz w:val="17"/>
                                          <w:lang w:val="bg-BG" w:eastAsia="en-GB"/>
                                        </w:rPr>
                                        <w:t>Дейности</w:t>
                                      </w:r>
                                    </w:hyperlink>
                                    <w:r w:rsidR="00942D16" w:rsidRPr="00942D16">
                                      <w:rPr>
                                        <w:rFonts w:ascii="Arial" w:eastAsia="Times New Roman" w:hAnsi="Arial" w:cs="Arial"/>
                                        <w:b/>
                                        <w:bCs/>
                                        <w:color w:val="40688E"/>
                                        <w:sz w:val="17"/>
                                        <w:lang w:val="bg-BG" w:eastAsia="en-GB"/>
                                      </w:rPr>
                                      <w:t xml:space="preserve"> с регулирани цени</w:t>
                                    </w:r>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5" w:history="1">
                                      <w:r w:rsidR="00942D16" w:rsidRPr="00457103">
                                        <w:rPr>
                                          <w:rFonts w:ascii="Arial" w:eastAsia="Times New Roman" w:hAnsi="Arial" w:cs="Arial"/>
                                          <w:b/>
                                          <w:bCs/>
                                          <w:color w:val="40688E"/>
                                          <w:sz w:val="18"/>
                                          <w:lang w:val="bg-BG" w:eastAsia="en-GB"/>
                                        </w:rPr>
                                        <w:t xml:space="preserve"> </w:t>
                                      </w:r>
                                      <w:r w:rsidR="00942D16" w:rsidRPr="00E468B4">
                                        <w:rPr>
                                          <w:rFonts w:ascii="Arial" w:eastAsia="Times New Roman" w:hAnsi="Arial" w:cs="Arial"/>
                                          <w:b/>
                                          <w:bCs/>
                                          <w:color w:val="40688E"/>
                                          <w:sz w:val="17"/>
                                          <w:lang w:val="bg-BG" w:eastAsia="en-GB"/>
                                        </w:rPr>
                                        <w:t>Въпроси, свързани с прилагането на МСФО</w:t>
                                      </w:r>
                                    </w:hyperlink>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6" w:history="1">
                                      <w:r w:rsidR="00942D16">
                                        <w:rPr>
                                          <w:rFonts w:ascii="Arial" w:eastAsia="Times New Roman" w:hAnsi="Arial" w:cs="Arial"/>
                                          <w:b/>
                                          <w:bCs/>
                                          <w:color w:val="40688E"/>
                                          <w:sz w:val="17"/>
                                          <w:lang w:val="bg-BG" w:eastAsia="en-GB"/>
                                        </w:rPr>
                                        <w:t>Характеристики на предсрочно погасяване с отрицателно компенсиране</w:t>
                                      </w:r>
                                      <w:r w:rsidR="003604F7" w:rsidRPr="003604F7">
                                        <w:rPr>
                                          <w:rFonts w:ascii="Arial" w:eastAsia="Times New Roman" w:hAnsi="Arial" w:cs="Arial"/>
                                          <w:b/>
                                          <w:bCs/>
                                          <w:color w:val="40688E"/>
                                          <w:sz w:val="17"/>
                                          <w:lang w:eastAsia="en-GB"/>
                                        </w:rPr>
                                        <w:t xml:space="preserve"> (</w:t>
                                      </w:r>
                                      <w:r w:rsidR="00942D16" w:rsidRPr="00942D16">
                                        <w:rPr>
                                          <w:rFonts w:ascii="Arial" w:eastAsia="Times New Roman" w:hAnsi="Arial" w:cs="Arial"/>
                                          <w:b/>
                                          <w:bCs/>
                                          <w:color w:val="40688E"/>
                                          <w:sz w:val="17"/>
                                          <w:lang w:eastAsia="en-GB"/>
                                        </w:rPr>
                                        <w:t>предложени изменения</w:t>
                                      </w:r>
                                      <w:r w:rsidR="00942D16">
                                        <w:rPr>
                                          <w:rFonts w:ascii="Arial" w:eastAsia="Times New Roman" w:hAnsi="Arial" w:cs="Arial"/>
                                          <w:b/>
                                          <w:bCs/>
                                          <w:color w:val="40688E"/>
                                          <w:sz w:val="17"/>
                                          <w:lang w:val="bg-BG" w:eastAsia="en-GB"/>
                                        </w:rPr>
                                        <w:t xml:space="preserve"> в МСФО</w:t>
                                      </w:r>
                                      <w:r w:rsidR="003604F7" w:rsidRPr="003604F7">
                                        <w:rPr>
                                          <w:rFonts w:ascii="Arial" w:eastAsia="Times New Roman" w:hAnsi="Arial" w:cs="Arial"/>
                                          <w:b/>
                                          <w:bCs/>
                                          <w:color w:val="40688E"/>
                                          <w:sz w:val="17"/>
                                          <w:lang w:eastAsia="en-GB"/>
                                        </w:rPr>
                                        <w:t xml:space="preserve"> 9)</w:t>
                                      </w:r>
                                    </w:hyperlink>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7" w:history="1">
                                      <w:r w:rsidR="00942D16">
                                        <w:rPr>
                                          <w:rFonts w:ascii="Arial" w:eastAsia="Times New Roman" w:hAnsi="Arial" w:cs="Arial"/>
                                          <w:b/>
                                          <w:bCs/>
                                          <w:color w:val="40688E"/>
                                          <w:sz w:val="17"/>
                                          <w:lang w:val="bg-BG" w:eastAsia="en-GB"/>
                                        </w:rPr>
                                        <w:t>Динамично управление на риска</w:t>
                                      </w:r>
                                      <w:r w:rsidR="003604F7" w:rsidRPr="003604F7">
                                        <w:rPr>
                                          <w:rFonts w:ascii="Arial" w:eastAsia="Times New Roman" w:hAnsi="Arial" w:cs="Arial"/>
                                          <w:b/>
                                          <w:bCs/>
                                          <w:color w:val="40688E"/>
                                          <w:sz w:val="17"/>
                                          <w:lang w:eastAsia="en-GB"/>
                                        </w:rPr>
                                        <w:t xml:space="preserve"> (</w:t>
                                      </w:r>
                                      <w:r w:rsidR="00942D16">
                                        <w:rPr>
                                          <w:rFonts w:ascii="Arial" w:eastAsia="Times New Roman" w:hAnsi="Arial" w:cs="Arial"/>
                                          <w:b/>
                                          <w:bCs/>
                                          <w:color w:val="40688E"/>
                                          <w:sz w:val="17"/>
                                          <w:lang w:val="bg-BG" w:eastAsia="en-GB"/>
                                        </w:rPr>
                                        <w:t>образователна сесия</w:t>
                                      </w:r>
                                      <w:r w:rsidR="003604F7" w:rsidRPr="003604F7">
                                        <w:rPr>
                                          <w:rFonts w:ascii="Arial" w:eastAsia="Times New Roman" w:hAnsi="Arial" w:cs="Arial"/>
                                          <w:b/>
                                          <w:bCs/>
                                          <w:color w:val="40688E"/>
                                          <w:sz w:val="17"/>
                                          <w:lang w:eastAsia="en-GB"/>
                                        </w:rPr>
                                        <w:t>)</w:t>
                                      </w:r>
                                    </w:hyperlink>
                                  </w:p>
                                  <w:p w:rsidR="003604F7" w:rsidRPr="003604F7" w:rsidRDefault="006C5BDD" w:rsidP="003604F7">
                                    <w:pPr>
                                      <w:numPr>
                                        <w:ilvl w:val="0"/>
                                        <w:numId w:val="1"/>
                                      </w:numPr>
                                      <w:spacing w:before="100" w:beforeAutospacing="1" w:after="100" w:afterAutospacing="1" w:line="247" w:lineRule="atLeast"/>
                                      <w:ind w:right="978"/>
                                      <w:rPr>
                                        <w:rFonts w:ascii="Arial" w:eastAsia="Times New Roman" w:hAnsi="Arial" w:cs="Arial"/>
                                        <w:color w:val="40688E"/>
                                        <w:sz w:val="17"/>
                                        <w:szCs w:val="17"/>
                                        <w:lang w:eastAsia="en-GB"/>
                                      </w:rPr>
                                    </w:pPr>
                                    <w:hyperlink w:anchor="8" w:history="1">
                                      <w:r w:rsidR="00942D16">
                                        <w:rPr>
                                          <w:rFonts w:ascii="Arial" w:eastAsia="Times New Roman" w:hAnsi="Arial" w:cs="Arial"/>
                                          <w:b/>
                                          <w:bCs/>
                                          <w:color w:val="40688E"/>
                                          <w:sz w:val="17"/>
                                          <w:lang w:val="bg-BG" w:eastAsia="en-GB"/>
                                        </w:rPr>
                                        <w:t>Дефиниция на бизнес</w:t>
                                      </w:r>
                                    </w:hyperlink>
                                  </w:p>
                                  <w:p w:rsidR="003604F7" w:rsidRPr="003604F7" w:rsidRDefault="003604F7" w:rsidP="003604F7">
                                    <w:pPr>
                                      <w:spacing w:after="0" w:line="247" w:lineRule="atLeast"/>
                                      <w:ind w:right="978"/>
                                      <w:rPr>
                                        <w:rFonts w:ascii="Arial" w:eastAsia="Times New Roman" w:hAnsi="Arial" w:cs="Arial"/>
                                        <w:color w:val="5F5F60"/>
                                        <w:sz w:val="17"/>
                                        <w:szCs w:val="17"/>
                                        <w:lang w:eastAsia="en-GB"/>
                                      </w:rPr>
                                    </w:pPr>
                                  </w:p>
                                </w:tc>
                                <w:tc>
                                  <w:tcPr>
                                    <w:tcW w:w="2475" w:type="dxa"/>
                                    <w:hideMark/>
                                  </w:tcPr>
                                  <w:p w:rsidR="003604F7" w:rsidRPr="00942D16" w:rsidRDefault="00942D16" w:rsidP="003604F7">
                                    <w:pPr>
                                      <w:spacing w:after="0" w:line="240" w:lineRule="auto"/>
                                      <w:ind w:left="-1109" w:right="978"/>
                                      <w:jc w:val="right"/>
                                      <w:rPr>
                                        <w:rFonts w:ascii="Times New Roman" w:eastAsia="Times New Roman" w:hAnsi="Times New Roman" w:cs="Times New Roman"/>
                                        <w:sz w:val="24"/>
                                        <w:szCs w:val="24"/>
                                        <w:lang w:val="bg-BG" w:eastAsia="en-GB"/>
                                      </w:rPr>
                                    </w:pPr>
                                    <w:r>
                                      <w:rPr>
                                        <w:rFonts w:ascii="Times New Roman" w:eastAsia="Times New Roman" w:hAnsi="Times New Roman" w:cs="Times New Roman"/>
                                        <w:sz w:val="24"/>
                                        <w:szCs w:val="24"/>
                                        <w:lang w:val="bg-BG" w:eastAsia="en-GB"/>
                                      </w:rPr>
                                      <w:t>1</w:t>
                                    </w:r>
                                  </w:p>
                                </w:tc>
                              </w:tr>
                              <w:tr w:rsidR="003604F7" w:rsidRPr="003604F7">
                                <w:trPr>
                                  <w:tblCellSpacing w:w="0" w:type="dxa"/>
                                </w:trPr>
                                <w:tc>
                                  <w:tcPr>
                                    <w:tcW w:w="0" w:type="auto"/>
                                    <w:gridSpan w:val="2"/>
                                    <w:tcMar>
                                      <w:top w:w="343" w:type="dxa"/>
                                      <w:left w:w="411" w:type="dxa"/>
                                      <w:bottom w:w="0" w:type="dxa"/>
                                      <w:right w:w="137" w:type="dxa"/>
                                    </w:tcMar>
                                    <w:vAlign w:val="center"/>
                                    <w:hideMark/>
                                  </w:tcPr>
                                  <w:p w:rsidR="003604F7" w:rsidRPr="003604F7" w:rsidRDefault="00942D16" w:rsidP="003604F7">
                                    <w:pPr>
                                      <w:spacing w:after="240" w:line="247" w:lineRule="atLeast"/>
                                      <w:ind w:right="978"/>
                                      <w:rPr>
                                        <w:rFonts w:ascii="Arial" w:eastAsia="Times New Roman" w:hAnsi="Arial" w:cs="Arial"/>
                                        <w:color w:val="5F5F60"/>
                                        <w:sz w:val="17"/>
                                        <w:szCs w:val="17"/>
                                        <w:lang w:eastAsia="en-GB"/>
                                      </w:rPr>
                                    </w:pPr>
                                    <w:bookmarkStart w:id="0" w:name="1"/>
                                    <w:r>
                                      <w:rPr>
                                        <w:rFonts w:ascii="Arial" w:eastAsia="Times New Roman" w:hAnsi="Arial" w:cs="Arial"/>
                                        <w:b/>
                                        <w:bCs/>
                                        <w:color w:val="40688E"/>
                                        <w:lang w:val="bg-BG" w:eastAsia="en-GB"/>
                                      </w:rPr>
                                      <w:t>Концептуална рамка</w:t>
                                    </w:r>
                                    <w:bookmarkEnd w:id="0"/>
                                    <w:r w:rsidR="003604F7" w:rsidRPr="003604F7">
                                      <w:rPr>
                                        <w:rFonts w:ascii="Arial" w:eastAsia="Times New Roman" w:hAnsi="Arial" w:cs="Arial"/>
                                        <w:b/>
                                        <w:bCs/>
                                        <w:color w:val="40688E"/>
                                        <w:lang w:eastAsia="en-GB"/>
                                      </w:rPr>
                                      <w:t xml:space="preserve"> (</w:t>
                                    </w:r>
                                    <w:r>
                                      <w:rPr>
                                        <w:rFonts w:ascii="Arial" w:eastAsia="Times New Roman" w:hAnsi="Arial" w:cs="Arial"/>
                                        <w:b/>
                                        <w:bCs/>
                                        <w:color w:val="40688E"/>
                                        <w:lang w:eastAsia="en-GB"/>
                                      </w:rPr>
                                      <w:t>Документ по програмата</w:t>
                                    </w:r>
                                    <w:r w:rsidR="003604F7" w:rsidRPr="003604F7">
                                      <w:rPr>
                                        <w:rFonts w:ascii="Arial" w:eastAsia="Times New Roman" w:hAnsi="Arial" w:cs="Arial"/>
                                        <w:b/>
                                        <w:bCs/>
                                        <w:color w:val="40688E"/>
                                        <w:lang w:eastAsia="en-GB"/>
                                      </w:rPr>
                                      <w:t xml:space="preserve"> 10)</w:t>
                                    </w:r>
                                  </w:p>
                                  <w:p w:rsidR="003604F7" w:rsidRPr="003604F7" w:rsidRDefault="000A09FA"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обсъди проект на описание в Концептуалната рамка на границите на отчитащо се предприятие, което не е юридическо лице</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Описанието е разработено в отговор на взетото по време на заседанието на Съвета през септември 2016 г. в порядък на работна хипотеза решение</w:t>
                                    </w:r>
                                    <w:r w:rsidR="003604F7" w:rsidRPr="003604F7">
                                      <w:rPr>
                                        <w:rFonts w:ascii="Arial" w:eastAsia="Times New Roman" w:hAnsi="Arial" w:cs="Arial"/>
                                        <w:color w:val="5F5F60"/>
                                        <w:sz w:val="17"/>
                                        <w:szCs w:val="17"/>
                                        <w:lang w:eastAsia="en-GB"/>
                                      </w:rPr>
                                      <w:t>.</w:t>
                                    </w:r>
                                  </w:p>
                                  <w:p w:rsidR="003604F7" w:rsidRPr="003604F7" w:rsidRDefault="000A09FA"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е удовлетворен от насоката на разработване на проекта, но реши допълнително да акцентира върху това, че информационните нужди на потребителите на финансовите отчети играят важна роля при установяване на границите на отчитащо се предприятие, което не е юридическо лице</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0F3891" w:rsidRDefault="00942D16" w:rsidP="003604F7">
                                    <w:pPr>
                                      <w:spacing w:after="240" w:line="247" w:lineRule="atLeast"/>
                                      <w:ind w:right="978"/>
                                      <w:rPr>
                                        <w:rFonts w:ascii="Arial" w:eastAsia="Times New Roman" w:hAnsi="Arial" w:cs="Arial"/>
                                        <w:color w:val="5F5F60"/>
                                        <w:sz w:val="17"/>
                                        <w:szCs w:val="17"/>
                                        <w:lang w:val="bg-BG" w:eastAsia="en-GB"/>
                                      </w:rPr>
                                    </w:pPr>
                                    <w:bookmarkStart w:id="1" w:name="2"/>
                                    <w:r w:rsidRPr="000F3891">
                                      <w:rPr>
                                        <w:rFonts w:ascii="Arial" w:eastAsia="Times New Roman" w:hAnsi="Arial" w:cs="Arial"/>
                                        <w:b/>
                                        <w:bCs/>
                                        <w:color w:val="40688E"/>
                                        <w:lang w:val="bg-BG" w:eastAsia="en-GB"/>
                                      </w:rPr>
                                      <w:t>Счетоводни политики и счетоводни приблизителни оценки</w:t>
                                    </w:r>
                                    <w:bookmarkEnd w:id="1"/>
                                    <w:r w:rsidR="003604F7" w:rsidRPr="000F3891">
                                      <w:rPr>
                                        <w:rFonts w:ascii="Arial" w:eastAsia="Times New Roman" w:hAnsi="Arial" w:cs="Arial"/>
                                        <w:b/>
                                        <w:bCs/>
                                        <w:color w:val="40688E"/>
                                        <w:lang w:val="bg-BG" w:eastAsia="en-GB"/>
                                      </w:rPr>
                                      <w:t xml:space="preserve"> (</w:t>
                                    </w:r>
                                    <w:r w:rsidRPr="000F3891">
                                      <w:rPr>
                                        <w:rFonts w:ascii="Arial" w:eastAsia="Times New Roman" w:hAnsi="Arial" w:cs="Arial"/>
                                        <w:b/>
                                        <w:bCs/>
                                        <w:color w:val="40688E"/>
                                        <w:lang w:val="bg-BG" w:eastAsia="en-GB"/>
                                      </w:rPr>
                                      <w:t>Документ по програмата</w:t>
                                    </w:r>
                                    <w:r w:rsidR="003604F7" w:rsidRPr="000F3891">
                                      <w:rPr>
                                        <w:rFonts w:ascii="Arial" w:eastAsia="Times New Roman" w:hAnsi="Arial" w:cs="Arial"/>
                                        <w:b/>
                                        <w:bCs/>
                                        <w:color w:val="40688E"/>
                                        <w:lang w:val="bg-BG" w:eastAsia="en-GB"/>
                                      </w:rPr>
                                      <w:t xml:space="preserve"> 26)</w:t>
                                    </w:r>
                                  </w:p>
                                  <w:p w:rsidR="003604F7" w:rsidRPr="003604F7" w:rsidRDefault="000A09FA"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обсъди въпрос, който възникна при изготвянето на проект за обсъждане във връзка с измененията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8 </w:t>
                                    </w:r>
                                    <w:r w:rsidR="001923D5" w:rsidRPr="001923D5">
                                      <w:rPr>
                                        <w:rFonts w:ascii="Arial" w:eastAsia="Times New Roman" w:hAnsi="Arial" w:cs="Arial"/>
                                        <w:bCs/>
                                        <w:i/>
                                        <w:iCs/>
                                        <w:color w:val="5F5F60"/>
                                        <w:sz w:val="17"/>
                                        <w:lang w:val="bg-BG" w:eastAsia="en-GB"/>
                                      </w:rPr>
                                      <w:t>Счетоводни политики</w:t>
                                    </w:r>
                                    <w:r w:rsidR="001923D5" w:rsidRPr="001923D5">
                                      <w:rPr>
                                        <w:rFonts w:ascii="Arial" w:eastAsia="Times New Roman" w:hAnsi="Arial" w:cs="Arial"/>
                                        <w:bCs/>
                                        <w:i/>
                                        <w:iCs/>
                                        <w:color w:val="5F5F60"/>
                                        <w:sz w:val="17"/>
                                        <w:lang w:eastAsia="en-GB"/>
                                      </w:rPr>
                                      <w:t xml:space="preserve">, </w:t>
                                    </w:r>
                                    <w:r w:rsidR="001923D5" w:rsidRPr="001923D5">
                                      <w:rPr>
                                        <w:rFonts w:ascii="Arial" w:eastAsia="Times New Roman" w:hAnsi="Arial" w:cs="Arial"/>
                                        <w:bCs/>
                                        <w:i/>
                                        <w:iCs/>
                                        <w:color w:val="5F5F60"/>
                                        <w:sz w:val="17"/>
                                        <w:lang w:val="bg-BG" w:eastAsia="en-GB"/>
                                      </w:rPr>
                                      <w:t>промени в счетоводните приблизителни оценки и грешки</w:t>
                                    </w:r>
                                    <w:r w:rsidR="001923D5" w:rsidRPr="001923D5">
                                      <w:rPr>
                                        <w:rFonts w:ascii="Arial" w:eastAsia="Times New Roman" w:hAnsi="Arial" w:cs="Arial"/>
                                        <w:b/>
                                        <w:bCs/>
                                        <w:i/>
                                        <w:iCs/>
                                        <w:color w:val="5F5F60"/>
                                        <w:sz w:val="17"/>
                                        <w:lang w:val="bg-BG" w:eastAsia="en-GB"/>
                                      </w:rPr>
                                      <w:t xml:space="preserve"> </w:t>
                                    </w:r>
                                    <w:r w:rsidR="003604F7" w:rsidRPr="003604F7">
                                      <w:rPr>
                                        <w:rFonts w:ascii="Arial" w:eastAsia="Times New Roman" w:hAnsi="Arial" w:cs="Arial"/>
                                        <w:color w:val="5F5F60"/>
                                        <w:sz w:val="17"/>
                                        <w:szCs w:val="17"/>
                                        <w:lang w:eastAsia="en-GB"/>
                                      </w:rPr>
                                      <w:t>(</w:t>
                                    </w:r>
                                    <w:r w:rsidR="00E468B4">
                                      <w:rPr>
                                        <w:rFonts w:ascii="Arial" w:eastAsia="Times New Roman" w:hAnsi="Arial" w:cs="Arial"/>
                                        <w:color w:val="5F5F60"/>
                                        <w:sz w:val="17"/>
                                        <w:szCs w:val="17"/>
                                        <w:lang w:val="bg-BG" w:eastAsia="en-GB"/>
                                      </w:rPr>
                                      <w:t>ПО</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Съветът реши да включи в Проекта за обсъждане предложение за заличаване на „Пример 3 от </w:t>
                                    </w:r>
                                    <w:proofErr w:type="gramStart"/>
                                    <w:r>
                                      <w:rPr>
                                        <w:rFonts w:ascii="Arial" w:eastAsia="Times New Roman" w:hAnsi="Arial" w:cs="Arial"/>
                                        <w:color w:val="5F5F60"/>
                                        <w:sz w:val="17"/>
                                        <w:szCs w:val="17"/>
                                        <w:lang w:val="bg-BG" w:eastAsia="en-GB"/>
                                      </w:rPr>
                                      <w:t>Насоките за приложение –Прилагане за бъдещи периоди на промяна в счетоводната политика, когато ретроспективното прилагане не е практически приложимо” в</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i/>
                                        <w:iCs/>
                                        <w:color w:val="5F5F60"/>
                                        <w:sz w:val="17"/>
                                        <w:lang w:val="bg-BG" w:eastAsia="en-GB"/>
                                      </w:rPr>
                                      <w:t>Насоките</w:t>
                                    </w:r>
                                    <w:proofErr w:type="gramEnd"/>
                                    <w:r>
                                      <w:rPr>
                                        <w:rFonts w:ascii="Arial" w:eastAsia="Times New Roman" w:hAnsi="Arial" w:cs="Arial"/>
                                        <w:i/>
                                        <w:iCs/>
                                        <w:color w:val="5F5F60"/>
                                        <w:sz w:val="17"/>
                                        <w:lang w:val="bg-BG" w:eastAsia="en-GB"/>
                                      </w:rPr>
                                      <w:t xml:space="preserve"> за прилагане на</w:t>
                                    </w:r>
                                    <w:r w:rsidR="003604F7" w:rsidRPr="003604F7">
                                      <w:rPr>
                                        <w:rFonts w:ascii="Arial" w:eastAsia="Times New Roman" w:hAnsi="Arial" w:cs="Arial"/>
                                        <w:i/>
                                        <w:iCs/>
                                        <w:color w:val="5F5F60"/>
                                        <w:sz w:val="17"/>
                                        <w:lang w:eastAsia="en-GB"/>
                                      </w:rPr>
                                      <w:t xml:space="preserve"> </w:t>
                                    </w:r>
                                    <w:r w:rsidR="000F3891">
                                      <w:rPr>
                                        <w:rFonts w:ascii="Arial" w:eastAsia="Times New Roman" w:hAnsi="Arial" w:cs="Arial"/>
                                        <w:i/>
                                        <w:iCs/>
                                        <w:color w:val="5F5F60"/>
                                        <w:sz w:val="17"/>
                                        <w:lang w:eastAsia="en-GB"/>
                                      </w:rPr>
                                      <w:t>МСС</w:t>
                                    </w:r>
                                    <w:r w:rsidR="003604F7" w:rsidRPr="003604F7">
                                      <w:rPr>
                                        <w:rFonts w:ascii="Arial" w:eastAsia="Times New Roman" w:hAnsi="Arial" w:cs="Arial"/>
                                        <w:i/>
                                        <w:iCs/>
                                        <w:color w:val="5F5F60"/>
                                        <w:sz w:val="17"/>
                                        <w:lang w:eastAsia="en-GB"/>
                                      </w:rPr>
                                      <w:t xml:space="preserve"> 8</w:t>
                                    </w:r>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sidRPr="000F3891">
                                      <w:rPr>
                                        <w:rFonts w:ascii="Arial" w:eastAsia="Times New Roman" w:hAnsi="Arial" w:cs="Arial"/>
                                        <w:color w:val="5F5F60"/>
                                        <w:sz w:val="17"/>
                                        <w:szCs w:val="17"/>
                                        <w:lang w:val="bg-BG" w:eastAsia="en-GB"/>
                                      </w:rPr>
                                      <w:t xml:space="preserve">Всичките тринадесет членове на Съвета изразиха съгласие с </w:t>
                                    </w:r>
                                    <w:r>
                                      <w:rPr>
                                        <w:rFonts w:ascii="Arial" w:eastAsia="Times New Roman" w:hAnsi="Arial" w:cs="Arial"/>
                                        <w:color w:val="5F5F60"/>
                                        <w:sz w:val="17"/>
                                        <w:szCs w:val="17"/>
                                        <w:lang w:val="bg-BG" w:eastAsia="en-GB"/>
                                      </w:rPr>
                                      <w:t>тази препоръка</w:t>
                                    </w:r>
                                    <w:r w:rsidR="003604F7" w:rsidRPr="003604F7">
                                      <w:rPr>
                                        <w:rFonts w:ascii="Arial" w:eastAsia="Times New Roman" w:hAnsi="Arial" w:cs="Arial"/>
                                        <w:color w:val="5F5F60"/>
                                        <w:sz w:val="17"/>
                                        <w:szCs w:val="17"/>
                                        <w:lang w:eastAsia="en-GB"/>
                                      </w:rPr>
                                      <w:t>.</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lastRenderedPageBreak/>
                                      <w:t>Следващи етапи</w:t>
                                    </w:r>
                                  </w:p>
                                  <w:p w:rsidR="003604F7" w:rsidRPr="003604F7" w:rsidRDefault="000A09FA"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очаква да публикува Проекта за обсъждане през третото тримесечие на 2017 г</w:t>
                                    </w:r>
                                    <w:r w:rsidR="00E468B4">
                                      <w:rPr>
                                        <w:rFonts w:ascii="Arial" w:eastAsia="Times New Roman" w:hAnsi="Arial" w:cs="Arial"/>
                                        <w:color w:val="5F5F60"/>
                                        <w:sz w:val="17"/>
                                        <w:szCs w:val="17"/>
                                        <w:lang w:val="bg-B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3604F7" w:rsidRDefault="000F3891" w:rsidP="003604F7">
                                    <w:pPr>
                                      <w:spacing w:after="240" w:line="247" w:lineRule="atLeast"/>
                                      <w:ind w:right="978"/>
                                      <w:rPr>
                                        <w:rFonts w:ascii="Arial" w:eastAsia="Times New Roman" w:hAnsi="Arial" w:cs="Arial"/>
                                        <w:color w:val="5F5F60"/>
                                        <w:sz w:val="17"/>
                                        <w:szCs w:val="17"/>
                                        <w:lang w:eastAsia="en-GB"/>
                                      </w:rPr>
                                    </w:pPr>
                                    <w:bookmarkStart w:id="2" w:name="3"/>
                                    <w:r>
                                      <w:rPr>
                                        <w:rFonts w:ascii="Arial" w:eastAsia="Times New Roman" w:hAnsi="Arial" w:cs="Arial"/>
                                        <w:b/>
                                        <w:bCs/>
                                        <w:color w:val="40688E"/>
                                        <w:lang w:val="bg-BG" w:eastAsia="en-GB"/>
                                      </w:rPr>
                                      <w:t>Основни финансови отчети</w:t>
                                    </w:r>
                                    <w:bookmarkEnd w:id="2"/>
                                    <w:r w:rsidR="003604F7" w:rsidRPr="003604F7">
                                      <w:rPr>
                                        <w:rFonts w:ascii="Arial" w:eastAsia="Times New Roman" w:hAnsi="Arial" w:cs="Arial"/>
                                        <w:b/>
                                        <w:bCs/>
                                        <w:color w:val="40688E"/>
                                        <w:lang w:eastAsia="en-GB"/>
                                      </w:rPr>
                                      <w:t xml:space="preserve"> (</w:t>
                                    </w:r>
                                    <w:r w:rsidR="00942D16">
                                      <w:rPr>
                                        <w:rFonts w:ascii="Arial" w:eastAsia="Times New Roman" w:hAnsi="Arial" w:cs="Arial"/>
                                        <w:b/>
                                        <w:bCs/>
                                        <w:color w:val="40688E"/>
                                        <w:lang w:eastAsia="en-GB"/>
                                      </w:rPr>
                                      <w:t>Документ по програмата</w:t>
                                    </w:r>
                                    <w:r w:rsidR="003604F7" w:rsidRPr="003604F7">
                                      <w:rPr>
                                        <w:rFonts w:ascii="Arial" w:eastAsia="Times New Roman" w:hAnsi="Arial" w:cs="Arial"/>
                                        <w:b/>
                                        <w:bCs/>
                                        <w:color w:val="40688E"/>
                                        <w:lang w:eastAsia="en-GB"/>
                                      </w:rPr>
                                      <w:t xml:space="preserve"> 21)</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На 21 юни 2017 г. Съветът проведе заседание, за да обсъди проекта </w:t>
                                    </w:r>
                                    <w:proofErr w:type="gramStart"/>
                                    <w:r>
                                      <w:rPr>
                                        <w:rFonts w:ascii="Arial" w:eastAsia="Times New Roman" w:hAnsi="Arial" w:cs="Arial"/>
                                        <w:color w:val="5F5F60"/>
                                        <w:sz w:val="17"/>
                                        <w:szCs w:val="17"/>
                                        <w:lang w:val="bg-BG" w:eastAsia="en-GB"/>
                                      </w:rPr>
                                      <w:t>относно</w:t>
                                    </w:r>
                                    <w:proofErr w:type="gramEnd"/>
                                    <w:r>
                                      <w:rPr>
                                        <w:rFonts w:ascii="Arial" w:eastAsia="Times New Roman" w:hAnsi="Arial" w:cs="Arial"/>
                                        <w:color w:val="5F5F60"/>
                                        <w:sz w:val="17"/>
                                        <w:szCs w:val="17"/>
                                        <w:lang w:val="bg-BG" w:eastAsia="en-GB"/>
                                      </w:rPr>
                                      <w:t xml:space="preserve"> основните финансови отчети</w:t>
                                    </w:r>
                                    <w:r w:rsidR="003604F7" w:rsidRPr="003604F7">
                                      <w:rPr>
                                        <w:rFonts w:ascii="Arial" w:eastAsia="Times New Roman" w:hAnsi="Arial" w:cs="Arial"/>
                                        <w:color w:val="5F5F60"/>
                                        <w:sz w:val="17"/>
                                        <w:szCs w:val="17"/>
                                        <w:lang w:eastAsia="en-GB"/>
                                      </w:rPr>
                                      <w:t xml:space="preserve">. </w:t>
                                    </w:r>
                                    <w:proofErr w:type="gramStart"/>
                                    <w:r>
                                      <w:rPr>
                                        <w:rFonts w:ascii="Arial" w:eastAsia="Times New Roman" w:hAnsi="Arial" w:cs="Arial"/>
                                        <w:color w:val="5F5F60"/>
                                        <w:sz w:val="17"/>
                                        <w:szCs w:val="17"/>
                                        <w:lang w:val="bg-BG" w:eastAsia="en-GB"/>
                                      </w:rPr>
                                      <w:t>Съветът продължи с обсъжданията след заседанието на Съвета</w:t>
                                    </w:r>
                                    <w:proofErr w:type="gramEnd"/>
                                    <w:r>
                                      <w:rPr>
                                        <w:rFonts w:ascii="Arial" w:eastAsia="Times New Roman" w:hAnsi="Arial" w:cs="Arial"/>
                                        <w:color w:val="5F5F60"/>
                                        <w:sz w:val="17"/>
                                        <w:szCs w:val="17"/>
                                        <w:lang w:val="bg-BG" w:eastAsia="en-GB"/>
                                      </w:rPr>
                                      <w:t xml:space="preserve"> от март 2017 година във връзка с въвеждането на два междинни сбора в отчета или отчетите за финансовите резултати от дейността – печалба преди финансови приходи и разходи и данъци</w:t>
                                    </w:r>
                                    <w:r w:rsidR="003604F7" w:rsidRPr="003604F7">
                                      <w:rPr>
                                        <w:rFonts w:ascii="Arial" w:eastAsia="Times New Roman" w:hAnsi="Arial" w:cs="Arial"/>
                                        <w:color w:val="5F5F60"/>
                                        <w:sz w:val="17"/>
                                        <w:szCs w:val="17"/>
                                        <w:lang w:eastAsia="en-GB"/>
                                      </w:rPr>
                                      <w:t xml:space="preserve"> (EBIT) </w:t>
                                    </w:r>
                                    <w:r>
                                      <w:rPr>
                                        <w:rFonts w:ascii="Arial" w:eastAsia="Times New Roman" w:hAnsi="Arial" w:cs="Arial"/>
                                        <w:color w:val="5F5F60"/>
                                        <w:sz w:val="17"/>
                                        <w:szCs w:val="17"/>
                                        <w:lang w:val="bg-BG" w:eastAsia="en-GB"/>
                                      </w:rPr>
                                      <w:t>и измерител на резултатите от дейността на ръководството</w:t>
                                    </w:r>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На това заседание не бяха взети никакви решения.</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t>Следващи етапи</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Екипът ще разгледа получените от Съвета в качеството на обратна информация</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становища и на бъдещо заседание ще представи преработените предложения</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3604F7" w:rsidRDefault="000F3891" w:rsidP="003604F7">
                                    <w:pPr>
                                      <w:spacing w:after="240" w:line="247" w:lineRule="atLeast"/>
                                      <w:ind w:right="978"/>
                                      <w:rPr>
                                        <w:rFonts w:ascii="Arial" w:eastAsia="Times New Roman" w:hAnsi="Arial" w:cs="Arial"/>
                                        <w:color w:val="5F5F60"/>
                                        <w:sz w:val="17"/>
                                        <w:szCs w:val="17"/>
                                        <w:lang w:eastAsia="en-GB"/>
                                      </w:rPr>
                                    </w:pPr>
                                    <w:bookmarkStart w:id="3" w:name="4"/>
                                    <w:r>
                                      <w:rPr>
                                        <w:rFonts w:ascii="Arial" w:eastAsia="Times New Roman" w:hAnsi="Arial" w:cs="Arial"/>
                                        <w:b/>
                                        <w:bCs/>
                                        <w:color w:val="40688E"/>
                                        <w:lang w:val="bg-BG" w:eastAsia="en-GB"/>
                                      </w:rPr>
                                      <w:t>Дейности с регулирани цени</w:t>
                                    </w:r>
                                    <w:bookmarkEnd w:id="3"/>
                                    <w:r w:rsidR="003604F7" w:rsidRPr="003604F7">
                                      <w:rPr>
                                        <w:rFonts w:ascii="Arial" w:eastAsia="Times New Roman" w:hAnsi="Arial" w:cs="Arial"/>
                                        <w:b/>
                                        <w:bCs/>
                                        <w:color w:val="40688E"/>
                                        <w:lang w:eastAsia="en-GB"/>
                                      </w:rPr>
                                      <w:t xml:space="preserve"> (</w:t>
                                    </w:r>
                                    <w:r w:rsidR="00942D16">
                                      <w:rPr>
                                        <w:rFonts w:ascii="Arial" w:eastAsia="Times New Roman" w:hAnsi="Arial" w:cs="Arial"/>
                                        <w:b/>
                                        <w:bCs/>
                                        <w:color w:val="40688E"/>
                                        <w:lang w:eastAsia="en-GB"/>
                                      </w:rPr>
                                      <w:t>Документ по програмата</w:t>
                                    </w:r>
                                    <w:r w:rsidR="003604F7" w:rsidRPr="003604F7">
                                      <w:rPr>
                                        <w:rFonts w:ascii="Arial" w:eastAsia="Times New Roman" w:hAnsi="Arial" w:cs="Arial"/>
                                        <w:b/>
                                        <w:bCs/>
                                        <w:color w:val="40688E"/>
                                        <w:lang w:eastAsia="en-GB"/>
                                      </w:rPr>
                                      <w:t xml:space="preserve"> 9)</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На 21 юни 2017 г. Съветът проведе заседание, за да разгледа </w:t>
                                    </w:r>
                                    <w:r w:rsidR="001A6C03">
                                      <w:rPr>
                                        <w:rFonts w:ascii="Arial" w:eastAsia="Times New Roman" w:hAnsi="Arial" w:cs="Arial"/>
                                        <w:color w:val="5F5F60"/>
                                        <w:sz w:val="17"/>
                                        <w:szCs w:val="17"/>
                                        <w:lang w:val="bg-BG" w:eastAsia="en-GB"/>
                                      </w:rPr>
                                      <w:t>примери, които демонстрират функционирането на евентуален счетоводен модел по отношение на дейности, обект на регулиране с определяне на цените/тарифите</w:t>
                                    </w:r>
                                    <w:r w:rsidR="003604F7" w:rsidRPr="003604F7">
                                      <w:rPr>
                                        <w:rFonts w:ascii="Arial" w:eastAsia="Times New Roman" w:hAnsi="Arial" w:cs="Arial"/>
                                        <w:color w:val="5F5F60"/>
                                        <w:sz w:val="17"/>
                                        <w:szCs w:val="17"/>
                                        <w:lang w:eastAsia="en-GB"/>
                                      </w:rPr>
                                      <w:t xml:space="preserve">. </w:t>
                                    </w:r>
                                    <w:r w:rsidR="001A6C03">
                                      <w:rPr>
                                        <w:rFonts w:ascii="Arial" w:eastAsia="Times New Roman" w:hAnsi="Arial" w:cs="Arial"/>
                                        <w:color w:val="5F5F60"/>
                                        <w:sz w:val="17"/>
                                        <w:szCs w:val="17"/>
                                        <w:lang w:val="bg-BG" w:eastAsia="en-GB"/>
                                      </w:rPr>
                                      <w:t>Моделът признава активи и пасиви, които отразяват права и задължения, възникващи в резултат на механизъм за коригиране на цените в регулаторно споразумение</w:t>
                                    </w:r>
                                    <w:r w:rsidR="003604F7" w:rsidRPr="003604F7">
                                      <w:rPr>
                                        <w:rFonts w:ascii="Arial" w:eastAsia="Times New Roman" w:hAnsi="Arial" w:cs="Arial"/>
                                        <w:color w:val="5F5F60"/>
                                        <w:sz w:val="17"/>
                                        <w:szCs w:val="17"/>
                                        <w:lang w:eastAsia="en-GB"/>
                                      </w:rPr>
                                      <w:t>.</w:t>
                                    </w:r>
                                  </w:p>
                                  <w:p w:rsidR="003604F7" w:rsidRPr="003604F7" w:rsidRDefault="001A6C0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Регулирането с определяне на </w:t>
                                    </w:r>
                                    <w:proofErr w:type="gramStart"/>
                                    <w:r>
                                      <w:rPr>
                                        <w:rFonts w:ascii="Arial" w:eastAsia="Times New Roman" w:hAnsi="Arial" w:cs="Arial"/>
                                        <w:color w:val="5F5F60"/>
                                        <w:sz w:val="17"/>
                                        <w:szCs w:val="17"/>
                                        <w:lang w:val="bg-BG" w:eastAsia="en-GB"/>
                                      </w:rPr>
                                      <w:t>цените/тарифите</w:t>
                                    </w:r>
                                    <w:r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установява базата за определяне на регулираната цена</w:t>
                                    </w:r>
                                    <w:proofErr w:type="gramEnd"/>
                                    <w:r>
                                      <w:rPr>
                                        <w:rFonts w:ascii="Arial" w:eastAsia="Times New Roman" w:hAnsi="Arial" w:cs="Arial"/>
                                        <w:color w:val="5F5F60"/>
                                        <w:sz w:val="17"/>
                                        <w:szCs w:val="17"/>
                                        <w:lang w:val="bg-BG" w:eastAsia="en-GB"/>
                                      </w:rPr>
                                      <w:t>, която предприятието може да начисли на своите клиенти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за конкретни стоки или услуги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Тази база включва</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механизъм за коригиране на </w:t>
                                    </w:r>
                                    <w:proofErr w:type="gramStart"/>
                                    <w:r>
                                      <w:rPr>
                                        <w:rFonts w:ascii="Arial" w:eastAsia="Times New Roman" w:hAnsi="Arial" w:cs="Arial"/>
                                        <w:color w:val="5F5F60"/>
                                        <w:sz w:val="17"/>
                                        <w:szCs w:val="17"/>
                                        <w:lang w:val="bg-BG" w:eastAsia="en-GB"/>
                                      </w:rPr>
                                      <w:t>цените, който дава на предприятието право да увеличи регулираната цена</w:t>
                                    </w:r>
                                    <w:proofErr w:type="gramEnd"/>
                                    <w:r>
                                      <w:rPr>
                                        <w:rFonts w:ascii="Arial" w:eastAsia="Times New Roman" w:hAnsi="Arial" w:cs="Arial"/>
                                        <w:color w:val="5F5F60"/>
                                        <w:sz w:val="17"/>
                                        <w:szCs w:val="17"/>
                                        <w:lang w:val="bg-BG" w:eastAsia="en-GB"/>
                                      </w:rPr>
                                      <w:t xml:space="preserve"> в бъдещ период или задължение да намали тази цена, за да</w:t>
                                    </w:r>
                                    <w:r w:rsidR="003604F7" w:rsidRPr="003604F7">
                                      <w:rPr>
                                        <w:rFonts w:ascii="Arial" w:eastAsia="Times New Roman" w:hAnsi="Arial" w:cs="Arial"/>
                                        <w:color w:val="5F5F60"/>
                                        <w:sz w:val="17"/>
                                        <w:szCs w:val="17"/>
                                        <w:lang w:eastAsia="en-GB"/>
                                      </w:rPr>
                                      <w:t>:</w:t>
                                    </w:r>
                                  </w:p>
                                  <w:p w:rsidR="003604F7" w:rsidRPr="003604F7" w:rsidRDefault="001A6C03" w:rsidP="003604F7">
                                    <w:pPr>
                                      <w:numPr>
                                        <w:ilvl w:val="0"/>
                                        <w:numId w:val="2"/>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Коригира отклонения в приблизителните оценки в минали периоди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или</w:t>
                                    </w:r>
                                  </w:p>
                                  <w:p w:rsidR="003604F7" w:rsidRPr="003604F7" w:rsidRDefault="001A6C03" w:rsidP="003604F7">
                                    <w:pPr>
                                      <w:numPr>
                                        <w:ilvl w:val="0"/>
                                        <w:numId w:val="2"/>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Сторнира временни разлики, който са възникнали преди края на текущия период</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Такива разлики могат да възникнат, когато регулираната цена в един </w:t>
                                    </w:r>
                                    <w:proofErr w:type="gramStart"/>
                                    <w:r>
                                      <w:rPr>
                                        <w:rFonts w:ascii="Arial" w:eastAsia="Times New Roman" w:hAnsi="Arial" w:cs="Arial"/>
                                        <w:color w:val="5F5F60"/>
                                        <w:sz w:val="17"/>
                                        <w:szCs w:val="17"/>
                                        <w:lang w:val="bg-BG" w:eastAsia="en-GB"/>
                                      </w:rPr>
                                      <w:t>период включва суми, отнасящи се до конкретно посочени дейности, които предприятието осъществява в друг период</w:t>
                                    </w:r>
                                    <w:proofErr w:type="gramEnd"/>
                                    <w:r w:rsidR="003604F7" w:rsidRPr="003604F7">
                                      <w:rPr>
                                        <w:rFonts w:ascii="Arial" w:eastAsia="Times New Roman" w:hAnsi="Arial" w:cs="Arial"/>
                                        <w:color w:val="5F5F60"/>
                                        <w:sz w:val="17"/>
                                        <w:szCs w:val="17"/>
                                        <w:lang w:eastAsia="en-GB"/>
                                      </w:rPr>
                                      <w:t>.</w:t>
                                    </w:r>
                                  </w:p>
                                  <w:p w:rsidR="003604F7" w:rsidRPr="003604F7" w:rsidRDefault="001A6C0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бе запознат и с</w:t>
                                    </w:r>
                                    <w:r w:rsidR="003604F7" w:rsidRPr="003604F7">
                                      <w:rPr>
                                        <w:rFonts w:ascii="Arial" w:eastAsia="Times New Roman" w:hAnsi="Arial" w:cs="Arial"/>
                                        <w:color w:val="5F5F60"/>
                                        <w:sz w:val="17"/>
                                        <w:szCs w:val="17"/>
                                        <w:lang w:eastAsia="en-GB"/>
                                      </w:rPr>
                                      <w:t xml:space="preserve"> </w:t>
                                    </w:r>
                                    <w:r w:rsidR="00942D16">
                                      <w:rPr>
                                        <w:rFonts w:ascii="Arial" w:eastAsia="Times New Roman" w:hAnsi="Arial" w:cs="Arial"/>
                                        <w:color w:val="5F5F60"/>
                                        <w:sz w:val="17"/>
                                        <w:szCs w:val="17"/>
                                        <w:lang w:eastAsia="en-GB"/>
                                      </w:rPr>
                                      <w:t>Документ по програмата</w:t>
                                    </w:r>
                                    <w:r w:rsidR="003604F7" w:rsidRPr="003604F7">
                                      <w:rPr>
                                        <w:rFonts w:ascii="Arial" w:eastAsia="Times New Roman" w:hAnsi="Arial" w:cs="Arial"/>
                                        <w:color w:val="5F5F60"/>
                                        <w:sz w:val="17"/>
                                        <w:szCs w:val="17"/>
                                        <w:lang w:eastAsia="en-GB"/>
                                      </w:rPr>
                                      <w:t xml:space="preserve"> 9A, </w:t>
                                    </w:r>
                                    <w:r>
                                      <w:rPr>
                                        <w:rFonts w:ascii="Arial" w:eastAsia="Times New Roman" w:hAnsi="Arial" w:cs="Arial"/>
                                        <w:color w:val="5F5F60"/>
                                        <w:sz w:val="17"/>
                                        <w:szCs w:val="17"/>
                                        <w:lang w:val="bg-BG" w:eastAsia="en-GB"/>
                                      </w:rPr>
                                      <w:t>обобщение на проведените до момента дискусии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единствено с цел информация</w:t>
                                    </w:r>
                                    <w:r w:rsidR="003604F7" w:rsidRPr="003604F7">
                                      <w:rPr>
                                        <w:rFonts w:ascii="Arial" w:eastAsia="Times New Roman" w:hAnsi="Arial" w:cs="Arial"/>
                                        <w:color w:val="5F5F60"/>
                                        <w:sz w:val="17"/>
                                        <w:szCs w:val="17"/>
                                        <w:lang w:eastAsia="en-GB"/>
                                      </w:rPr>
                                      <w:t>.</w:t>
                                    </w:r>
                                  </w:p>
                                  <w:p w:rsidR="003604F7" w:rsidRPr="003604F7" w:rsidRDefault="001A6C0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i/>
                                        <w:iCs/>
                                        <w:color w:val="5F5F60"/>
                                        <w:sz w:val="17"/>
                                        <w:lang w:val="bg-BG" w:eastAsia="en-GB"/>
                                      </w:rPr>
                                      <w:t>Примери за коригиране на цената/тарифата</w:t>
                                    </w:r>
                                    <w:r w:rsidR="003604F7" w:rsidRPr="003604F7">
                                      <w:rPr>
                                        <w:rFonts w:ascii="Arial" w:eastAsia="Times New Roman" w:hAnsi="Arial" w:cs="Arial"/>
                                        <w:b/>
                                        <w:bCs/>
                                        <w:color w:val="5F5F60"/>
                                        <w:sz w:val="17"/>
                                        <w:lang w:eastAsia="en-GB"/>
                                      </w:rPr>
                                      <w:t xml:space="preserve"> (</w:t>
                                    </w:r>
                                    <w:r w:rsidR="00942D16">
                                      <w:rPr>
                                        <w:rFonts w:ascii="Arial" w:eastAsia="Times New Roman" w:hAnsi="Arial" w:cs="Arial"/>
                                        <w:b/>
                                        <w:bCs/>
                                        <w:color w:val="5F5F60"/>
                                        <w:sz w:val="17"/>
                                        <w:lang w:eastAsia="en-GB"/>
                                      </w:rPr>
                                      <w:t>Документ по програмата</w:t>
                                    </w:r>
                                    <w:r w:rsidR="003604F7" w:rsidRPr="003604F7">
                                      <w:rPr>
                                        <w:rFonts w:ascii="Arial" w:eastAsia="Times New Roman" w:hAnsi="Arial" w:cs="Arial"/>
                                        <w:b/>
                                        <w:bCs/>
                                        <w:color w:val="5F5F60"/>
                                        <w:sz w:val="17"/>
                                        <w:lang w:eastAsia="en-GB"/>
                                      </w:rPr>
                                      <w:t xml:space="preserve"> 9</w:t>
                                    </w:r>
                                    <w:r>
                                      <w:rPr>
                                        <w:rFonts w:ascii="Arial" w:eastAsia="Times New Roman" w:hAnsi="Arial" w:cs="Arial"/>
                                        <w:b/>
                                        <w:bCs/>
                                        <w:color w:val="5F5F60"/>
                                        <w:sz w:val="17"/>
                                        <w:lang w:val="bg-BG" w:eastAsia="en-GB"/>
                                      </w:rPr>
                                      <w:t>Б</w:t>
                                    </w:r>
                                    <w:r w:rsidR="003604F7" w:rsidRPr="003604F7">
                                      <w:rPr>
                                        <w:rFonts w:ascii="Arial" w:eastAsia="Times New Roman" w:hAnsi="Arial" w:cs="Arial"/>
                                        <w:b/>
                                        <w:bCs/>
                                        <w:color w:val="5F5F60"/>
                                        <w:sz w:val="17"/>
                                        <w:lang w:eastAsia="en-GB"/>
                                      </w:rPr>
                                      <w:t>)</w:t>
                                    </w:r>
                                  </w:p>
                                  <w:p w:rsidR="003604F7" w:rsidRPr="003604F7" w:rsidRDefault="00CA356D"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обсъди пет примера, които демонстрират често срещани видове корекции на регулирани цени/тарифи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Всеки пример показва как моделът би признал регулаторен актив или регулаторен пасив, заедно със съответната корекция на регулираната цена, признавана в печалбата или загубата</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По отношение на всеки един пример</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Съветът разгледа заключенията на екипа </w:t>
                                    </w:r>
                                    <w:proofErr w:type="gramStart"/>
                                    <w:r>
                                      <w:rPr>
                                        <w:rFonts w:ascii="Arial" w:eastAsia="Times New Roman" w:hAnsi="Arial" w:cs="Arial"/>
                                        <w:color w:val="5F5F60"/>
                                        <w:sz w:val="17"/>
                                        <w:szCs w:val="17"/>
                                        <w:lang w:val="bg-BG" w:eastAsia="en-GB"/>
                                      </w:rPr>
                                      <w:t>относно</w:t>
                                    </w:r>
                                    <w:proofErr w:type="gramEnd"/>
                                    <w:r w:rsidR="003604F7" w:rsidRPr="003604F7">
                                      <w:rPr>
                                        <w:rFonts w:ascii="Arial" w:eastAsia="Times New Roman" w:hAnsi="Arial" w:cs="Arial"/>
                                        <w:color w:val="5F5F60"/>
                                        <w:sz w:val="17"/>
                                        <w:szCs w:val="17"/>
                                        <w:lang w:eastAsia="en-GB"/>
                                      </w:rPr>
                                      <w:t>:</w:t>
                                    </w:r>
                                  </w:p>
                                  <w:p w:rsidR="003604F7" w:rsidRPr="003604F7" w:rsidRDefault="00CA356D" w:rsidP="003604F7">
                                    <w:pPr>
                                      <w:numPr>
                                        <w:ilvl w:val="0"/>
                                        <w:numId w:val="3"/>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Момента и размера на възникващата корекция</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и</w:t>
                                    </w:r>
                                  </w:p>
                                  <w:p w:rsidR="003604F7" w:rsidRPr="003604F7" w:rsidRDefault="00CA356D" w:rsidP="003604F7">
                                    <w:pPr>
                                      <w:numPr>
                                        <w:ilvl w:val="0"/>
                                        <w:numId w:val="3"/>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Модела и времето на сторниране на корекцията</w:t>
                                    </w:r>
                                    <w:r>
                                      <w:rPr>
                                        <w:rFonts w:ascii="Arial" w:eastAsia="Times New Roman" w:hAnsi="Arial" w:cs="Arial"/>
                                        <w:color w:val="5F5F60"/>
                                        <w:sz w:val="17"/>
                                        <w:szCs w:val="17"/>
                                        <w:lang w:eastAsia="en-GB"/>
                                      </w:rPr>
                                      <w:t>.</w:t>
                                    </w:r>
                                  </w:p>
                                  <w:p w:rsidR="003604F7" w:rsidRPr="003604F7" w:rsidRDefault="001923D5"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Единадесет от членовете на Съвета изразиха съгласие със заключенията на екипа </w:t>
                                    </w:r>
                                    <w:proofErr w:type="gramStart"/>
                                    <w:r>
                                      <w:rPr>
                                        <w:rFonts w:ascii="Arial" w:eastAsia="Times New Roman" w:hAnsi="Arial" w:cs="Arial"/>
                                        <w:color w:val="5F5F60"/>
                                        <w:sz w:val="17"/>
                                        <w:szCs w:val="17"/>
                                        <w:lang w:val="bg-BG" w:eastAsia="en-GB"/>
                                      </w:rPr>
                                      <w:t>относно</w:t>
                                    </w:r>
                                    <w:proofErr w:type="gramEnd"/>
                                    <w:r>
                                      <w:rPr>
                                        <w:rFonts w:ascii="Arial" w:eastAsia="Times New Roman" w:hAnsi="Arial" w:cs="Arial"/>
                                        <w:color w:val="5F5F60"/>
                                        <w:sz w:val="17"/>
                                        <w:szCs w:val="17"/>
                                        <w:lang w:val="bg-BG" w:eastAsia="en-GB"/>
                                      </w:rPr>
                                      <w:t xml:space="preserve"> примерите, а един – несъгласие. Един от членовете отсъстваше</w:t>
                                    </w:r>
                                    <w:r w:rsidR="003604F7" w:rsidRPr="003604F7">
                                      <w:rPr>
                                        <w:rFonts w:ascii="Arial" w:eastAsia="Times New Roman" w:hAnsi="Arial" w:cs="Arial"/>
                                        <w:color w:val="5F5F60"/>
                                        <w:sz w:val="17"/>
                                        <w:szCs w:val="17"/>
                                        <w:lang w:eastAsia="en-GB"/>
                                      </w:rPr>
                                      <w:t>.</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t>Следващи етапи</w:t>
                                    </w:r>
                                  </w:p>
                                  <w:p w:rsidR="003604F7" w:rsidRPr="003604F7" w:rsidRDefault="00CA356D"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планира да обсъди допълнителни аспекти на модела по време на заседанието си през юли</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3604F7" w:rsidRDefault="000F3891" w:rsidP="003604F7">
                                    <w:pPr>
                                      <w:spacing w:after="240" w:line="247" w:lineRule="atLeast"/>
                                      <w:ind w:right="978"/>
                                      <w:rPr>
                                        <w:rFonts w:ascii="Arial" w:eastAsia="Times New Roman" w:hAnsi="Arial" w:cs="Arial"/>
                                        <w:color w:val="5F5F60"/>
                                        <w:sz w:val="17"/>
                                        <w:szCs w:val="17"/>
                                        <w:lang w:eastAsia="en-GB"/>
                                      </w:rPr>
                                    </w:pPr>
                                    <w:r>
                                      <w:rPr>
                                        <w:rFonts w:ascii="Arial" w:eastAsia="Times New Roman" w:hAnsi="Arial" w:cs="Arial"/>
                                        <w:b/>
                                        <w:bCs/>
                                        <w:color w:val="40688E"/>
                                        <w:lang w:val="bg-BG" w:eastAsia="en-GB"/>
                                      </w:rPr>
                                      <w:lastRenderedPageBreak/>
                                      <w:t>Въпроси, свързани с прилагането на МСФО</w:t>
                                    </w:r>
                                    <w:r w:rsidR="003604F7" w:rsidRPr="003604F7">
                                      <w:rPr>
                                        <w:rFonts w:ascii="Arial" w:eastAsia="Times New Roman" w:hAnsi="Arial" w:cs="Arial"/>
                                        <w:b/>
                                        <w:bCs/>
                                        <w:color w:val="40688E"/>
                                        <w:lang w:eastAsia="en-GB"/>
                                      </w:rPr>
                                      <w:t xml:space="preserve"> (</w:t>
                                    </w:r>
                                    <w:r w:rsidR="00942D16">
                                      <w:rPr>
                                        <w:rFonts w:ascii="Arial" w:eastAsia="Times New Roman" w:hAnsi="Arial" w:cs="Arial"/>
                                        <w:b/>
                                        <w:bCs/>
                                        <w:color w:val="40688E"/>
                                        <w:lang w:eastAsia="en-GB"/>
                                      </w:rPr>
                                      <w:t>Документ по програмата</w:t>
                                    </w:r>
                                    <w:r w:rsidR="003604F7" w:rsidRPr="003604F7">
                                      <w:rPr>
                                        <w:rFonts w:ascii="Arial" w:eastAsia="Times New Roman" w:hAnsi="Arial" w:cs="Arial"/>
                                        <w:b/>
                                        <w:bCs/>
                                        <w:color w:val="40688E"/>
                                        <w:lang w:eastAsia="en-GB"/>
                                      </w:rPr>
                                      <w:t xml:space="preserve"> 12)</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На 22 юни 2017 г. Съветът проведе заседание, за да обсъди </w:t>
                                    </w:r>
                                    <w:r w:rsidR="00C118A3">
                                      <w:rPr>
                                        <w:rFonts w:ascii="Arial" w:eastAsia="Times New Roman" w:hAnsi="Arial" w:cs="Arial"/>
                                        <w:color w:val="5F5F60"/>
                                        <w:sz w:val="17"/>
                                        <w:szCs w:val="17"/>
                                        <w:lang w:val="bg-BG" w:eastAsia="en-GB"/>
                                      </w:rPr>
                                      <w:t>проекти за въвеждане и поддържане на стандарти</w:t>
                                    </w:r>
                                    <w:r w:rsidR="003604F7" w:rsidRPr="003604F7">
                                      <w:rPr>
                                        <w:rFonts w:ascii="Arial" w:eastAsia="Times New Roman" w:hAnsi="Arial" w:cs="Arial"/>
                                        <w:color w:val="5F5F60"/>
                                        <w:sz w:val="17"/>
                                        <w:szCs w:val="17"/>
                                        <w:lang w:eastAsia="en-GB"/>
                                      </w:rPr>
                                      <w:t>.</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i/>
                                        <w:iCs/>
                                        <w:color w:val="5F5F60"/>
                                        <w:sz w:val="17"/>
                                        <w:lang w:val="bg-BG" w:eastAsia="en-GB"/>
                                      </w:rPr>
                                      <w:t>Изменение на</w:t>
                                    </w:r>
                                    <w:r w:rsidR="003604F7" w:rsidRPr="003604F7">
                                      <w:rPr>
                                        <w:rFonts w:ascii="Arial" w:eastAsia="Times New Roman" w:hAnsi="Arial" w:cs="Arial"/>
                                        <w:b/>
                                        <w:bCs/>
                                        <w:i/>
                                        <w:iCs/>
                                        <w:color w:val="5F5F60"/>
                                        <w:sz w:val="17"/>
                                        <w:lang w:eastAsia="en-GB"/>
                                      </w:rPr>
                                      <w:t xml:space="preserve"> </w:t>
                                    </w:r>
                                    <w:r w:rsidR="000F3891">
                                      <w:rPr>
                                        <w:rFonts w:ascii="Arial" w:eastAsia="Times New Roman" w:hAnsi="Arial" w:cs="Arial"/>
                                        <w:b/>
                                        <w:bCs/>
                                        <w:i/>
                                        <w:iCs/>
                                        <w:color w:val="5F5F60"/>
                                        <w:sz w:val="17"/>
                                        <w:lang w:eastAsia="en-GB"/>
                                      </w:rPr>
                                      <w:t>МСС</w:t>
                                    </w:r>
                                    <w:r w:rsidR="003604F7" w:rsidRPr="003604F7">
                                      <w:rPr>
                                        <w:rFonts w:ascii="Arial" w:eastAsia="Times New Roman" w:hAnsi="Arial" w:cs="Arial"/>
                                        <w:b/>
                                        <w:bCs/>
                                        <w:i/>
                                        <w:iCs/>
                                        <w:color w:val="5F5F60"/>
                                        <w:sz w:val="17"/>
                                        <w:lang w:eastAsia="en-GB"/>
                                      </w:rPr>
                                      <w:t xml:space="preserve"> 28—</w:t>
                                    </w:r>
                                    <w:r>
                                      <w:rPr>
                                        <w:rFonts w:ascii="Arial" w:eastAsia="Times New Roman" w:hAnsi="Arial" w:cs="Arial"/>
                                        <w:b/>
                                        <w:bCs/>
                                        <w:i/>
                                        <w:iCs/>
                                        <w:color w:val="5F5F60"/>
                                        <w:sz w:val="17"/>
                                        <w:lang w:val="bg-BG" w:eastAsia="en-GB"/>
                                      </w:rPr>
                                      <w:t xml:space="preserve">Дългосрочни дялове в асоциирани и съвместни предприятия </w:t>
                                    </w:r>
                                    <w:r w:rsidR="003604F7" w:rsidRPr="003604F7">
                                      <w:rPr>
                                        <w:rFonts w:ascii="Arial" w:eastAsia="Times New Roman" w:hAnsi="Arial" w:cs="Arial"/>
                                        <w:b/>
                                        <w:bCs/>
                                        <w:color w:val="5F5F60"/>
                                        <w:sz w:val="17"/>
                                        <w:lang w:eastAsia="en-GB"/>
                                      </w:rPr>
                                      <w:t>(</w:t>
                                    </w:r>
                                    <w:r w:rsidR="00942D16">
                                      <w:rPr>
                                        <w:rFonts w:ascii="Arial" w:eastAsia="Times New Roman" w:hAnsi="Arial" w:cs="Arial"/>
                                        <w:b/>
                                        <w:bCs/>
                                        <w:color w:val="5F5F60"/>
                                        <w:sz w:val="17"/>
                                        <w:lang w:eastAsia="en-GB"/>
                                      </w:rPr>
                                      <w:t>Документ по програмата</w:t>
                                    </w:r>
                                    <w:r w:rsidR="003604F7" w:rsidRPr="003604F7">
                                      <w:rPr>
                                        <w:rFonts w:ascii="Arial" w:eastAsia="Times New Roman" w:hAnsi="Arial" w:cs="Arial"/>
                                        <w:b/>
                                        <w:bCs/>
                                        <w:color w:val="5F5F60"/>
                                        <w:sz w:val="17"/>
                                        <w:lang w:eastAsia="en-GB"/>
                                      </w:rPr>
                                      <w:t xml:space="preserve"> 12A)</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продължи с обсъждане на предложените изменения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28 </w:t>
                                    </w:r>
                                    <w:r>
                                      <w:rPr>
                                        <w:rFonts w:ascii="Arial" w:eastAsia="Times New Roman" w:hAnsi="Arial" w:cs="Arial"/>
                                        <w:i/>
                                        <w:iCs/>
                                        <w:color w:val="5F5F60"/>
                                        <w:sz w:val="17"/>
                                        <w:lang w:val="bg-BG" w:eastAsia="en-GB"/>
                                      </w:rPr>
                                      <w:t>Инвестиции в асоциирани и съвместни предприятия</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По-конкретно</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Съветът обсъди изискванията при преминаване към стандарта за предприятия, прилагащи го за първи път и стъпките от регламентираната процедура</w:t>
                                    </w:r>
                                    <w:r w:rsidR="003604F7" w:rsidRPr="003604F7">
                                      <w:rPr>
                                        <w:rFonts w:ascii="Arial" w:eastAsia="Times New Roman" w:hAnsi="Arial" w:cs="Arial"/>
                                        <w:color w:val="5F5F60"/>
                                        <w:sz w:val="17"/>
                                        <w:szCs w:val="17"/>
                                        <w:lang w:eastAsia="en-GB"/>
                                      </w:rPr>
                                      <w:t xml:space="preserve">. </w:t>
                                    </w:r>
                                    <w:r w:rsidR="001923D5">
                                      <w:rPr>
                                        <w:rFonts w:ascii="Arial" w:eastAsia="Times New Roman" w:hAnsi="Arial" w:cs="Arial"/>
                                        <w:color w:val="5F5F60"/>
                                        <w:sz w:val="17"/>
                                        <w:szCs w:val="17"/>
                                        <w:lang w:val="bg-BG" w:eastAsia="en-GB"/>
                                      </w:rPr>
                                      <w:t>Съветът реши в порядък на работна хипотеза</w:t>
                                    </w:r>
                                    <w:r w:rsidR="001923D5"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да не предоставя на предприятията, прилагащи стандарта за първи </w:t>
                                    </w:r>
                                    <w:proofErr w:type="gramStart"/>
                                    <w:r>
                                      <w:rPr>
                                        <w:rFonts w:ascii="Arial" w:eastAsia="Times New Roman" w:hAnsi="Arial" w:cs="Arial"/>
                                        <w:color w:val="5F5F60"/>
                                        <w:sz w:val="17"/>
                                        <w:szCs w:val="17"/>
                                        <w:lang w:val="bg-BG" w:eastAsia="en-GB"/>
                                      </w:rPr>
                                      <w:t xml:space="preserve">път други изисквания за преход, освен тези, които вече са включени в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1 </w:t>
                                    </w:r>
                                    <w:r>
                                      <w:rPr>
                                        <w:rFonts w:ascii="Arial" w:eastAsia="Times New Roman" w:hAnsi="Arial" w:cs="Arial"/>
                                        <w:i/>
                                        <w:iCs/>
                                        <w:color w:val="5F5F60"/>
                                        <w:sz w:val="17"/>
                                        <w:lang w:val="bg-BG" w:eastAsia="en-GB"/>
                                      </w:rPr>
                                      <w:t>Прилагане за първи път</w:t>
                                    </w:r>
                                    <w:proofErr w:type="gramEnd"/>
                                    <w:r>
                                      <w:rPr>
                                        <w:rFonts w:ascii="Arial" w:eastAsia="Times New Roman" w:hAnsi="Arial" w:cs="Arial"/>
                                        <w:i/>
                                        <w:iCs/>
                                        <w:color w:val="5F5F60"/>
                                        <w:sz w:val="17"/>
                                        <w:lang w:val="bg-BG" w:eastAsia="en-GB"/>
                                      </w:rPr>
                                      <w:t xml:space="preserve"> на Международните стандарти за финансово отчитане</w:t>
                                    </w:r>
                                    <w:r w:rsidR="003604F7" w:rsidRPr="003604F7">
                                      <w:rPr>
                                        <w:rFonts w:ascii="Arial" w:eastAsia="Times New Roman" w:hAnsi="Arial" w:cs="Arial"/>
                                        <w:color w:val="5F5F60"/>
                                        <w:sz w:val="17"/>
                                        <w:szCs w:val="17"/>
                                        <w:lang w:eastAsia="en-GB"/>
                                      </w:rPr>
                                      <w:t>.</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Дванадесет от тринадесетте </w:t>
                                    </w:r>
                                    <w:proofErr w:type="gramStart"/>
                                    <w:r>
                                      <w:rPr>
                                        <w:rFonts w:ascii="Arial" w:eastAsia="Times New Roman" w:hAnsi="Arial" w:cs="Arial"/>
                                        <w:color w:val="5F5F60"/>
                                        <w:sz w:val="17"/>
                                        <w:szCs w:val="17"/>
                                        <w:lang w:val="bg-BG" w:eastAsia="en-GB"/>
                                      </w:rPr>
                                      <w:t>членове на Съвета изразиха съгласие с това решение, а един член</w:t>
                                    </w:r>
                                    <w:proofErr w:type="gramEnd"/>
                                    <w:r>
                                      <w:rPr>
                                        <w:rFonts w:ascii="Arial" w:eastAsia="Times New Roman" w:hAnsi="Arial" w:cs="Arial"/>
                                        <w:color w:val="5F5F60"/>
                                        <w:sz w:val="17"/>
                                        <w:szCs w:val="17"/>
                                        <w:lang w:val="bg-BG" w:eastAsia="en-GB"/>
                                      </w:rPr>
                                      <w:t xml:space="preserve"> отсъстваше</w:t>
                                    </w:r>
                                    <w:r w:rsidR="003604F7" w:rsidRPr="003604F7">
                                      <w:rPr>
                                        <w:rFonts w:ascii="Arial" w:eastAsia="Times New Roman" w:hAnsi="Arial" w:cs="Arial"/>
                                        <w:color w:val="5F5F60"/>
                                        <w:sz w:val="17"/>
                                        <w:szCs w:val="17"/>
                                        <w:lang w:eastAsia="en-GB"/>
                                      </w:rPr>
                                      <w:t>.</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Дванадесет от тринадесетте членове на </w:t>
                                    </w:r>
                                    <w:proofErr w:type="gramStart"/>
                                    <w:r>
                                      <w:rPr>
                                        <w:rFonts w:ascii="Arial" w:eastAsia="Times New Roman" w:hAnsi="Arial" w:cs="Arial"/>
                                        <w:color w:val="5F5F60"/>
                                        <w:sz w:val="17"/>
                                        <w:szCs w:val="17"/>
                                        <w:lang w:val="bg-BG" w:eastAsia="en-GB"/>
                                      </w:rPr>
                                      <w:t>Съвета изразиха съгласие, че Съветът</w:t>
                                    </w:r>
                                    <w:proofErr w:type="gramEnd"/>
                                    <w:r>
                                      <w:rPr>
                                        <w:rFonts w:ascii="Arial" w:eastAsia="Times New Roman" w:hAnsi="Arial" w:cs="Arial"/>
                                        <w:color w:val="5F5F60"/>
                                        <w:sz w:val="17"/>
                                        <w:szCs w:val="17"/>
                                        <w:lang w:val="bg-BG" w:eastAsia="en-GB"/>
                                      </w:rPr>
                                      <w:t xml:space="preserve"> е изпълнил необходимите стъпки от регламентираната процедура във връзка с проекта и дадоха указания на екипа да пристъпи към процедурата по гласуване във връзка с издаване на измененията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28. </w:t>
                                    </w:r>
                                    <w:r>
                                      <w:rPr>
                                        <w:rFonts w:ascii="Arial" w:eastAsia="Times New Roman" w:hAnsi="Arial" w:cs="Arial"/>
                                        <w:color w:val="5F5F60"/>
                                        <w:sz w:val="17"/>
                                        <w:szCs w:val="17"/>
                                        <w:lang w:val="bg-BG" w:eastAsia="en-GB"/>
                                      </w:rPr>
                                      <w:t>Един от членовете отсъстваше</w:t>
                                    </w:r>
                                    <w:r w:rsidR="003604F7" w:rsidRPr="003604F7">
                                      <w:rPr>
                                        <w:rFonts w:ascii="Arial" w:eastAsia="Times New Roman" w:hAnsi="Arial" w:cs="Arial"/>
                                        <w:color w:val="5F5F60"/>
                                        <w:sz w:val="17"/>
                                        <w:szCs w:val="17"/>
                                        <w:lang w:eastAsia="en-GB"/>
                                      </w:rPr>
                                      <w:t>.</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Един от членовете на Съвета даде индикации за намерението си да изрази несъгласие с издаването на измененията в М</w:t>
                                    </w:r>
                                    <w:r w:rsidR="000F3891">
                                      <w:rPr>
                                        <w:rFonts w:ascii="Arial" w:eastAsia="Times New Roman" w:hAnsi="Arial" w:cs="Arial"/>
                                        <w:color w:val="5F5F60"/>
                                        <w:sz w:val="17"/>
                                        <w:szCs w:val="17"/>
                                        <w:lang w:eastAsia="en-GB"/>
                                      </w:rPr>
                                      <w:t>СС</w:t>
                                    </w:r>
                                    <w:r w:rsidR="003604F7" w:rsidRPr="003604F7">
                                      <w:rPr>
                                        <w:rFonts w:ascii="Arial" w:eastAsia="Times New Roman" w:hAnsi="Arial" w:cs="Arial"/>
                                        <w:color w:val="5F5F60"/>
                                        <w:sz w:val="17"/>
                                        <w:szCs w:val="17"/>
                                        <w:lang w:eastAsia="en-GB"/>
                                      </w:rPr>
                                      <w:t xml:space="preserve"> 28.</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i/>
                                        <w:iCs/>
                                        <w:color w:val="5F5F60"/>
                                        <w:sz w:val="17"/>
                                        <w:lang w:eastAsia="en-GB"/>
                                      </w:rPr>
                                      <w:t>Следващи етапи</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очаква да издаде измененията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28 </w:t>
                                    </w:r>
                                    <w:r>
                                      <w:rPr>
                                        <w:rFonts w:ascii="Arial" w:eastAsia="Times New Roman" w:hAnsi="Arial" w:cs="Arial"/>
                                        <w:color w:val="5F5F60"/>
                                        <w:sz w:val="17"/>
                                        <w:szCs w:val="17"/>
                                        <w:lang w:val="bg-BG" w:eastAsia="en-GB"/>
                                      </w:rPr>
                                      <w:t>през септември</w:t>
                                    </w:r>
                                    <w:r w:rsidR="003604F7" w:rsidRPr="003604F7">
                                      <w:rPr>
                                        <w:rFonts w:ascii="Arial" w:eastAsia="Times New Roman" w:hAnsi="Arial" w:cs="Arial"/>
                                        <w:color w:val="5F5F60"/>
                                        <w:sz w:val="17"/>
                                        <w:szCs w:val="17"/>
                                        <w:lang w:eastAsia="en-GB"/>
                                      </w:rPr>
                                      <w:t xml:space="preserve"> 2017</w:t>
                                    </w:r>
                                    <w:r>
                                      <w:rPr>
                                        <w:rFonts w:ascii="Arial" w:eastAsia="Times New Roman" w:hAnsi="Arial" w:cs="Arial"/>
                                        <w:color w:val="5F5F60"/>
                                        <w:sz w:val="17"/>
                                        <w:szCs w:val="17"/>
                                        <w:lang w:val="bg-BG" w:eastAsia="en-GB"/>
                                      </w:rPr>
                                      <w:t xml:space="preserve"> г</w:t>
                                    </w:r>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val="bg-BG" w:eastAsia="en-GB"/>
                                      </w:rPr>
                                      <w:t>МСС</w:t>
                                    </w:r>
                                    <w:r w:rsidR="003604F7" w:rsidRPr="003604F7">
                                      <w:rPr>
                                        <w:rFonts w:ascii="Arial" w:eastAsia="Times New Roman" w:hAnsi="Arial" w:cs="Arial"/>
                                        <w:b/>
                                        <w:bCs/>
                                        <w:color w:val="5F5F60"/>
                                        <w:sz w:val="17"/>
                                        <w:lang w:eastAsia="en-GB"/>
                                      </w:rPr>
                                      <w:t xml:space="preserve"> 8 </w:t>
                                    </w:r>
                                    <w:r>
                                      <w:rPr>
                                        <w:rFonts w:ascii="Arial" w:eastAsia="Times New Roman" w:hAnsi="Arial" w:cs="Arial"/>
                                        <w:b/>
                                        <w:bCs/>
                                        <w:i/>
                                        <w:iCs/>
                                        <w:color w:val="5F5F60"/>
                                        <w:sz w:val="17"/>
                                        <w:lang w:val="bg-BG" w:eastAsia="en-GB"/>
                                      </w:rPr>
                                      <w:t>Счетоводни политики</w:t>
                                    </w:r>
                                    <w:r w:rsidR="003604F7" w:rsidRPr="003604F7">
                                      <w:rPr>
                                        <w:rFonts w:ascii="Arial" w:eastAsia="Times New Roman" w:hAnsi="Arial" w:cs="Arial"/>
                                        <w:b/>
                                        <w:bCs/>
                                        <w:i/>
                                        <w:iCs/>
                                        <w:color w:val="5F5F60"/>
                                        <w:sz w:val="17"/>
                                        <w:lang w:eastAsia="en-GB"/>
                                      </w:rPr>
                                      <w:t xml:space="preserve">, </w:t>
                                    </w:r>
                                    <w:r>
                                      <w:rPr>
                                        <w:rFonts w:ascii="Arial" w:eastAsia="Times New Roman" w:hAnsi="Arial" w:cs="Arial"/>
                                        <w:b/>
                                        <w:bCs/>
                                        <w:i/>
                                        <w:iCs/>
                                        <w:color w:val="5F5F60"/>
                                        <w:sz w:val="17"/>
                                        <w:lang w:val="bg-BG" w:eastAsia="en-GB"/>
                                      </w:rPr>
                                      <w:t xml:space="preserve">промени в счетоводните приблизителни оценки и </w:t>
                                    </w:r>
                                    <w:r w:rsidR="00E468B4">
                                      <w:rPr>
                                        <w:rFonts w:ascii="Arial" w:eastAsia="Times New Roman" w:hAnsi="Arial" w:cs="Arial"/>
                                        <w:b/>
                                        <w:bCs/>
                                        <w:i/>
                                        <w:iCs/>
                                        <w:color w:val="5F5F60"/>
                                        <w:sz w:val="17"/>
                                        <w:lang w:val="bg-BG" w:eastAsia="en-GB"/>
                                      </w:rPr>
                                      <w:t xml:space="preserve">грешки </w:t>
                                    </w:r>
                                    <w:r w:rsidR="00E468B4" w:rsidRPr="003604F7">
                                      <w:rPr>
                                        <w:rFonts w:ascii="Arial" w:eastAsia="Times New Roman" w:hAnsi="Arial" w:cs="Arial"/>
                                        <w:b/>
                                        <w:bCs/>
                                        <w:color w:val="5F5F60"/>
                                        <w:sz w:val="17"/>
                                        <w:lang w:eastAsia="en-GB"/>
                                      </w:rPr>
                                      <w:t>—</w:t>
                                    </w:r>
                                    <w:r w:rsidR="00E468B4">
                                      <w:rPr>
                                        <w:rFonts w:ascii="Arial" w:eastAsia="Times New Roman" w:hAnsi="Arial" w:cs="Arial"/>
                                        <w:b/>
                                        <w:bCs/>
                                        <w:i/>
                                        <w:iCs/>
                                        <w:color w:val="5F5F60"/>
                                        <w:sz w:val="17"/>
                                        <w:lang w:val="bg-BG" w:eastAsia="en-GB"/>
                                      </w:rPr>
                                      <w:t xml:space="preserve"> Промени</w:t>
                                    </w:r>
                                    <w:r w:rsidR="00C118A3">
                                      <w:rPr>
                                        <w:rFonts w:ascii="Arial" w:eastAsia="Times New Roman" w:hAnsi="Arial" w:cs="Arial"/>
                                        <w:b/>
                                        <w:bCs/>
                                        <w:i/>
                                        <w:iCs/>
                                        <w:color w:val="5F5F60"/>
                                        <w:sz w:val="17"/>
                                        <w:lang w:val="bg-BG" w:eastAsia="en-GB"/>
                                      </w:rPr>
                                      <w:t xml:space="preserve"> в счетоводна политика, произтичащи от решения във връзка с програмата</w:t>
                                    </w:r>
                                    <w:r w:rsidR="003604F7" w:rsidRPr="003604F7">
                                      <w:rPr>
                                        <w:rFonts w:ascii="Arial" w:eastAsia="Times New Roman" w:hAnsi="Arial" w:cs="Arial"/>
                                        <w:b/>
                                        <w:bCs/>
                                        <w:i/>
                                        <w:iCs/>
                                        <w:color w:val="5F5F60"/>
                                        <w:sz w:val="17"/>
                                        <w:lang w:eastAsia="en-GB"/>
                                      </w:rPr>
                                      <w:t xml:space="preserve"> (</w:t>
                                    </w:r>
                                    <w:r w:rsidR="00942D16">
                                      <w:rPr>
                                        <w:rFonts w:ascii="Arial" w:eastAsia="Times New Roman" w:hAnsi="Arial" w:cs="Arial"/>
                                        <w:b/>
                                        <w:bCs/>
                                        <w:i/>
                                        <w:iCs/>
                                        <w:color w:val="5F5F60"/>
                                        <w:sz w:val="17"/>
                                        <w:lang w:eastAsia="en-GB"/>
                                      </w:rPr>
                                      <w:t>Документ по програмата</w:t>
                                    </w:r>
                                    <w:r w:rsidR="003604F7" w:rsidRPr="003604F7">
                                      <w:rPr>
                                        <w:rFonts w:ascii="Arial" w:eastAsia="Times New Roman" w:hAnsi="Arial" w:cs="Arial"/>
                                        <w:b/>
                                        <w:bCs/>
                                        <w:i/>
                                        <w:iCs/>
                                        <w:color w:val="5F5F60"/>
                                        <w:sz w:val="17"/>
                                        <w:lang w:eastAsia="en-GB"/>
                                      </w:rPr>
                                      <w:t xml:space="preserve"> 12</w:t>
                                    </w:r>
                                    <w:r w:rsidR="00C118A3">
                                      <w:rPr>
                                        <w:rFonts w:ascii="Arial" w:eastAsia="Times New Roman" w:hAnsi="Arial" w:cs="Arial"/>
                                        <w:b/>
                                        <w:bCs/>
                                        <w:i/>
                                        <w:iCs/>
                                        <w:color w:val="5F5F60"/>
                                        <w:sz w:val="17"/>
                                        <w:lang w:val="bg-BG" w:eastAsia="en-GB"/>
                                      </w:rPr>
                                      <w:t>Б</w:t>
                                    </w:r>
                                    <w:r w:rsidR="003604F7" w:rsidRPr="003604F7">
                                      <w:rPr>
                                        <w:rFonts w:ascii="Arial" w:eastAsia="Times New Roman" w:hAnsi="Arial" w:cs="Arial"/>
                                        <w:b/>
                                        <w:bCs/>
                                        <w:i/>
                                        <w:iCs/>
                                        <w:color w:val="5F5F60"/>
                                        <w:sz w:val="17"/>
                                        <w:lang w:eastAsia="en-GB"/>
                                      </w:rPr>
                                      <w:t>)</w:t>
                                    </w:r>
                                  </w:p>
                                  <w:p w:rsidR="003604F7" w:rsidRPr="003604F7" w:rsidRDefault="00C118A3"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обсъди дали и ако да, как, да адресира предизвикателствата, възникващи в резултат на изискванията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8 </w:t>
                                    </w:r>
                                    <w:r>
                                      <w:rPr>
                                        <w:rFonts w:ascii="Arial" w:eastAsia="Times New Roman" w:hAnsi="Arial" w:cs="Arial"/>
                                        <w:color w:val="5F5F60"/>
                                        <w:sz w:val="17"/>
                                        <w:szCs w:val="17"/>
                                        <w:lang w:val="bg-BG" w:eastAsia="en-GB"/>
                                      </w:rPr>
                                      <w:t>за доброволни промени в счетоводни политики</w:t>
                                    </w:r>
                                    <w:r w:rsidR="003604F7" w:rsidRPr="003604F7">
                                      <w:rPr>
                                        <w:rFonts w:ascii="Arial" w:eastAsia="Times New Roman" w:hAnsi="Arial" w:cs="Arial"/>
                                        <w:color w:val="5F5F60"/>
                                        <w:sz w:val="17"/>
                                        <w:szCs w:val="17"/>
                                        <w:lang w:eastAsia="en-GB"/>
                                      </w:rPr>
                                      <w:t>—</w:t>
                                    </w:r>
                                    <w:r>
                                      <w:rPr>
                                        <w:rFonts w:ascii="Arial" w:eastAsia="Times New Roman" w:hAnsi="Arial" w:cs="Arial"/>
                                        <w:color w:val="5F5F60"/>
                                        <w:sz w:val="17"/>
                                        <w:szCs w:val="17"/>
                                        <w:lang w:val="bg-BG" w:eastAsia="en-GB"/>
                                      </w:rPr>
                                      <w:t>в частност</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промени в счетоводни политики, произтичащи от решения във връзка с програмата, публикувани от</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val="bg-BG" w:eastAsia="en-GB"/>
                                      </w:rPr>
                                      <w:t xml:space="preserve">Комитета по разясненията на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w:t>
                                    </w:r>
                                    <w:r w:rsidR="00154E7D">
                                      <w:rPr>
                                        <w:rFonts w:ascii="Arial" w:eastAsia="Times New Roman" w:hAnsi="Arial" w:cs="Arial"/>
                                        <w:color w:val="5F5F60"/>
                                        <w:sz w:val="17"/>
                                        <w:szCs w:val="17"/>
                                        <w:lang w:val="bg-BG" w:eastAsia="en-GB"/>
                                      </w:rPr>
                                      <w:t>По-специално</w:t>
                                    </w:r>
                                    <w:r w:rsidR="003604F7" w:rsidRPr="003604F7">
                                      <w:rPr>
                                        <w:rFonts w:ascii="Arial" w:eastAsia="Times New Roman" w:hAnsi="Arial" w:cs="Arial"/>
                                        <w:color w:val="5F5F60"/>
                                        <w:sz w:val="17"/>
                                        <w:szCs w:val="17"/>
                                        <w:lang w:eastAsia="en-GB"/>
                                      </w:rPr>
                                      <w:t xml:space="preserve">, </w:t>
                                    </w:r>
                                    <w:r w:rsidR="00154E7D">
                                      <w:rPr>
                                        <w:rFonts w:ascii="Arial" w:eastAsia="Times New Roman" w:hAnsi="Arial" w:cs="Arial"/>
                                        <w:color w:val="5F5F60"/>
                                        <w:sz w:val="17"/>
                                        <w:szCs w:val="17"/>
                                        <w:lang w:val="bg-BG" w:eastAsia="en-GB"/>
                                      </w:rPr>
                                      <w:t>Съветът разгледа въпроса дали следва да предостави допълнителни изключения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8 </w:t>
                                    </w:r>
                                    <w:r w:rsidR="00154E7D">
                                      <w:rPr>
                                        <w:rFonts w:ascii="Arial" w:eastAsia="Times New Roman" w:hAnsi="Arial" w:cs="Arial"/>
                                        <w:color w:val="5F5F60"/>
                                        <w:sz w:val="17"/>
                                        <w:szCs w:val="17"/>
                                        <w:lang w:val="bg-BG" w:eastAsia="en-GB"/>
                                      </w:rPr>
                                      <w:t xml:space="preserve">във връзка с ретроспективното прилагане на </w:t>
                                    </w:r>
                                    <w:proofErr w:type="gramStart"/>
                                    <w:r w:rsidR="00154E7D">
                                      <w:rPr>
                                        <w:rFonts w:ascii="Arial" w:eastAsia="Times New Roman" w:hAnsi="Arial" w:cs="Arial"/>
                                        <w:color w:val="5F5F60"/>
                                        <w:sz w:val="17"/>
                                        <w:szCs w:val="17"/>
                                        <w:lang w:val="bg-BG" w:eastAsia="en-GB"/>
                                      </w:rPr>
                                      <w:t>доброволни промени в счетоводни политики</w:t>
                                    </w:r>
                                    <w:r w:rsidR="003604F7" w:rsidRPr="003604F7">
                                      <w:rPr>
                                        <w:rFonts w:ascii="Arial" w:eastAsia="Times New Roman" w:hAnsi="Arial" w:cs="Arial"/>
                                        <w:color w:val="5F5F60"/>
                                        <w:sz w:val="17"/>
                                        <w:szCs w:val="17"/>
                                        <w:lang w:eastAsia="en-GB"/>
                                      </w:rPr>
                                      <w:t xml:space="preserve">, </w:t>
                                    </w:r>
                                    <w:r w:rsidR="00154E7D">
                                      <w:rPr>
                                        <w:rFonts w:ascii="Arial" w:eastAsia="Times New Roman" w:hAnsi="Arial" w:cs="Arial"/>
                                        <w:color w:val="5F5F60"/>
                                        <w:sz w:val="17"/>
                                        <w:szCs w:val="17"/>
                                        <w:lang w:val="bg-BG" w:eastAsia="en-GB"/>
                                      </w:rPr>
                                      <w:t>или по отношение на всички доброволни</w:t>
                                    </w:r>
                                    <w:proofErr w:type="gramEnd"/>
                                    <w:r w:rsidR="00154E7D">
                                      <w:rPr>
                                        <w:rFonts w:ascii="Arial" w:eastAsia="Times New Roman" w:hAnsi="Arial" w:cs="Arial"/>
                                        <w:color w:val="5F5F60"/>
                                        <w:sz w:val="17"/>
                                        <w:szCs w:val="17"/>
                                        <w:lang w:val="bg-BG" w:eastAsia="en-GB"/>
                                      </w:rPr>
                                      <w:t xml:space="preserve"> промени в счетоводни политики, или само по отношение на тези промени, които произтичат от решения във връзка с програмата</w:t>
                                    </w:r>
                                    <w:r w:rsidR="003604F7" w:rsidRPr="003604F7">
                                      <w:rPr>
                                        <w:rFonts w:ascii="Arial" w:eastAsia="Times New Roman" w:hAnsi="Arial" w:cs="Arial"/>
                                        <w:color w:val="5F5F60"/>
                                        <w:sz w:val="17"/>
                                        <w:szCs w:val="17"/>
                                        <w:lang w:eastAsia="en-GB"/>
                                      </w:rPr>
                                      <w:t>.</w:t>
                                    </w:r>
                                  </w:p>
                                  <w:p w:rsidR="003604F7" w:rsidRPr="003604F7" w:rsidRDefault="001923D5"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реши в порядък на работна хипотеза</w:t>
                                    </w:r>
                                    <w:r w:rsidRPr="003604F7">
                                      <w:rPr>
                                        <w:rFonts w:ascii="Arial" w:eastAsia="Times New Roman" w:hAnsi="Arial" w:cs="Arial"/>
                                        <w:color w:val="5F5F60"/>
                                        <w:sz w:val="17"/>
                                        <w:szCs w:val="17"/>
                                        <w:lang w:eastAsia="en-GB"/>
                                      </w:rPr>
                                      <w:t xml:space="preserve"> </w:t>
                                    </w:r>
                                    <w:r w:rsidR="00154E7D">
                                      <w:rPr>
                                        <w:rFonts w:ascii="Arial" w:eastAsia="Times New Roman" w:hAnsi="Arial" w:cs="Arial"/>
                                        <w:color w:val="5F5F60"/>
                                        <w:sz w:val="17"/>
                                        <w:szCs w:val="17"/>
                                        <w:lang w:val="bg-BG" w:eastAsia="en-GB"/>
                                      </w:rPr>
                                      <w:t>да измени</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МСС</w:t>
                                    </w:r>
                                    <w:r w:rsidR="003604F7" w:rsidRPr="003604F7">
                                      <w:rPr>
                                        <w:rFonts w:ascii="Arial" w:eastAsia="Times New Roman" w:hAnsi="Arial" w:cs="Arial"/>
                                        <w:color w:val="5F5F60"/>
                                        <w:sz w:val="17"/>
                                        <w:szCs w:val="17"/>
                                        <w:lang w:eastAsia="en-GB"/>
                                      </w:rPr>
                                      <w:t xml:space="preserve"> 8</w:t>
                                    </w:r>
                                    <w:r w:rsidR="00154E7D">
                                      <w:rPr>
                                        <w:rFonts w:ascii="Arial" w:eastAsia="Times New Roman" w:hAnsi="Arial" w:cs="Arial"/>
                                        <w:color w:val="5F5F60"/>
                                        <w:sz w:val="17"/>
                                        <w:szCs w:val="17"/>
                                        <w:lang w:val="bg-BG" w:eastAsia="en-GB"/>
                                      </w:rPr>
                                      <w:t xml:space="preserve">, за да понижи прага за практическа неприложимост </w:t>
                                    </w:r>
                                    <w:proofErr w:type="gramStart"/>
                                    <w:r w:rsidR="00154E7D">
                                      <w:rPr>
                                        <w:rFonts w:ascii="Arial" w:eastAsia="Times New Roman" w:hAnsi="Arial" w:cs="Arial"/>
                                        <w:color w:val="5F5F60"/>
                                        <w:sz w:val="17"/>
                                        <w:szCs w:val="17"/>
                                        <w:lang w:val="bg-BG" w:eastAsia="en-GB"/>
                                      </w:rPr>
                                      <w:t>относно</w:t>
                                    </w:r>
                                    <w:proofErr w:type="gramEnd"/>
                                    <w:r w:rsidR="00154E7D">
                                      <w:rPr>
                                        <w:rFonts w:ascii="Arial" w:eastAsia="Times New Roman" w:hAnsi="Arial" w:cs="Arial"/>
                                        <w:color w:val="5F5F60"/>
                                        <w:sz w:val="17"/>
                                        <w:szCs w:val="17"/>
                                        <w:lang w:val="bg-BG" w:eastAsia="en-GB"/>
                                      </w:rPr>
                                      <w:t xml:space="preserve"> ретроспективното прилагане на доброволни промени в счетоводни политики, които възникват в резултат на решения във връзка с програмата</w:t>
                                    </w:r>
                                    <w:r w:rsidR="003604F7" w:rsidRPr="003604F7">
                                      <w:rPr>
                                        <w:rFonts w:ascii="Arial" w:eastAsia="Times New Roman" w:hAnsi="Arial" w:cs="Arial"/>
                                        <w:color w:val="5F5F60"/>
                                        <w:sz w:val="17"/>
                                        <w:szCs w:val="17"/>
                                        <w:lang w:eastAsia="en-GB"/>
                                      </w:rPr>
                                      <w:t xml:space="preserve">. </w:t>
                                    </w:r>
                                    <w:r w:rsidR="00154E7D">
                                      <w:rPr>
                                        <w:rFonts w:ascii="Arial" w:eastAsia="Times New Roman" w:hAnsi="Arial" w:cs="Arial"/>
                                        <w:color w:val="5F5F60"/>
                                        <w:sz w:val="17"/>
                                        <w:szCs w:val="17"/>
                                        <w:lang w:val="bg-BG" w:eastAsia="en-GB"/>
                                      </w:rPr>
                                      <w:t>Предложеният праг ще включва преценка на ползите и разходите от ретроспективното прилагане на промяната</w:t>
                                    </w:r>
                                    <w:r w:rsidR="003604F7" w:rsidRPr="003604F7">
                                      <w:rPr>
                                        <w:rFonts w:ascii="Arial" w:eastAsia="Times New Roman" w:hAnsi="Arial" w:cs="Arial"/>
                                        <w:color w:val="5F5F60"/>
                                        <w:sz w:val="17"/>
                                        <w:szCs w:val="17"/>
                                        <w:lang w:eastAsia="en-GB"/>
                                      </w:rPr>
                                      <w:t>.</w:t>
                                    </w:r>
                                  </w:p>
                                  <w:p w:rsidR="003604F7" w:rsidRPr="003604F7" w:rsidRDefault="001923D5"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Осем от тринадесетте членове на Съвета изразиха съгласие с това решение, а трима – несъгласие. Един от членовете се въздържа, а един отсъстваше</w:t>
                                    </w:r>
                                    <w:r w:rsidR="003604F7" w:rsidRPr="003604F7">
                                      <w:rPr>
                                        <w:rFonts w:ascii="Arial" w:eastAsia="Times New Roman" w:hAnsi="Arial" w:cs="Arial"/>
                                        <w:color w:val="5F5F60"/>
                                        <w:sz w:val="17"/>
                                        <w:szCs w:val="17"/>
                                        <w:lang w:eastAsia="en-GB"/>
                                      </w:rPr>
                                      <w:t>.</w:t>
                                    </w:r>
                                  </w:p>
                                  <w:p w:rsidR="003604F7" w:rsidRPr="001923D5" w:rsidRDefault="001923D5" w:rsidP="003604F7">
                                    <w:pPr>
                                      <w:spacing w:after="0" w:line="247" w:lineRule="atLeast"/>
                                      <w:ind w:right="978"/>
                                      <w:rPr>
                                        <w:rFonts w:ascii="Arial" w:eastAsia="Times New Roman" w:hAnsi="Arial" w:cs="Arial"/>
                                        <w:color w:val="5F5F60"/>
                                        <w:sz w:val="17"/>
                                        <w:szCs w:val="17"/>
                                        <w:lang w:val="bg-BG" w:eastAsia="en-GB"/>
                                      </w:rPr>
                                    </w:pPr>
                                    <w:r>
                                      <w:rPr>
                                        <w:rFonts w:ascii="Arial" w:eastAsia="Times New Roman" w:hAnsi="Arial" w:cs="Arial"/>
                                        <w:color w:val="5F5F60"/>
                                        <w:sz w:val="17"/>
                                        <w:szCs w:val="17"/>
                                        <w:lang w:val="bg-BG" w:eastAsia="en-GB"/>
                                      </w:rPr>
                                      <w:t>Съветът реши също така в порядък на работна хипотеза</w:t>
                                    </w:r>
                                    <w:r w:rsidRPr="003604F7">
                                      <w:rPr>
                                        <w:rFonts w:ascii="Arial" w:eastAsia="Times New Roman" w:hAnsi="Arial" w:cs="Arial"/>
                                        <w:color w:val="5F5F60"/>
                                        <w:sz w:val="17"/>
                                        <w:szCs w:val="17"/>
                                        <w:lang w:eastAsia="en-GB"/>
                                      </w:rPr>
                                      <w:t xml:space="preserve"> </w:t>
                                    </w:r>
                                    <w:r w:rsidR="00154E7D">
                                      <w:rPr>
                                        <w:rFonts w:ascii="Arial" w:eastAsia="Times New Roman" w:hAnsi="Arial" w:cs="Arial"/>
                                        <w:color w:val="5F5F60"/>
                                        <w:sz w:val="17"/>
                                        <w:szCs w:val="17"/>
                                        <w:lang w:val="bg-BG" w:eastAsia="en-GB"/>
                                      </w:rPr>
                                      <w:t xml:space="preserve">да не адресира въпроса дали </w:t>
                                    </w:r>
                                    <w:proofErr w:type="gramStart"/>
                                    <w:r w:rsidR="00154E7D">
                                      <w:rPr>
                                        <w:rFonts w:ascii="Arial" w:eastAsia="Times New Roman" w:hAnsi="Arial" w:cs="Arial"/>
                                        <w:color w:val="5F5F60"/>
                                        <w:sz w:val="17"/>
                                        <w:szCs w:val="17"/>
                                        <w:lang w:val="bg-BG" w:eastAsia="en-GB"/>
                                      </w:rPr>
                                      <w:t>промяна, произтичаща от решение във връзка с програмата е коригиране на грешка или доброволна промяна</w:t>
                                    </w:r>
                                    <w:proofErr w:type="gramEnd"/>
                                    <w:r w:rsidR="00154E7D">
                                      <w:rPr>
                                        <w:rFonts w:ascii="Arial" w:eastAsia="Times New Roman" w:hAnsi="Arial" w:cs="Arial"/>
                                        <w:color w:val="5F5F60"/>
                                        <w:sz w:val="17"/>
                                        <w:szCs w:val="17"/>
                                        <w:lang w:val="bg-BG" w:eastAsia="en-GB"/>
                                      </w:rPr>
                                      <w:t xml:space="preserve"> в счетоводна политика</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Единадесет от тринадесетте </w:t>
                                    </w:r>
                                    <w:proofErr w:type="gramStart"/>
                                    <w:r>
                                      <w:rPr>
                                        <w:rFonts w:ascii="Arial" w:eastAsia="Times New Roman" w:hAnsi="Arial" w:cs="Arial"/>
                                        <w:color w:val="5F5F60"/>
                                        <w:sz w:val="17"/>
                                        <w:szCs w:val="17"/>
                                        <w:lang w:val="bg-BG" w:eastAsia="en-GB"/>
                                      </w:rPr>
                                      <w:t>членове на Съвета изразиха съгласие с това решение, а един – несъгласие</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един член</w:t>
                                    </w:r>
                                    <w:proofErr w:type="gramEnd"/>
                                    <w:r>
                                      <w:rPr>
                                        <w:rFonts w:ascii="Arial" w:eastAsia="Times New Roman" w:hAnsi="Arial" w:cs="Arial"/>
                                        <w:color w:val="5F5F60"/>
                                        <w:sz w:val="17"/>
                                        <w:szCs w:val="17"/>
                                        <w:lang w:val="bg-BG" w:eastAsia="en-GB"/>
                                      </w:rPr>
                                      <w:t xml:space="preserve"> отсъстваше.</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t>Следващи етапи</w:t>
                                    </w:r>
                                  </w:p>
                                  <w:p w:rsidR="003604F7" w:rsidRPr="003604F7" w:rsidRDefault="00154E7D"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По време на бъдещо свое заседание Съветът ще обсъди предложения нов праг</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0F3891" w:rsidRDefault="000F3891" w:rsidP="003604F7">
                                    <w:pPr>
                                      <w:spacing w:after="240" w:line="247" w:lineRule="atLeast"/>
                                      <w:ind w:right="978"/>
                                      <w:rPr>
                                        <w:rFonts w:ascii="Arial" w:eastAsia="Times New Roman" w:hAnsi="Arial" w:cs="Arial"/>
                                        <w:color w:val="5F5F60"/>
                                        <w:sz w:val="17"/>
                                        <w:szCs w:val="17"/>
                                        <w:lang w:val="bg-BG" w:eastAsia="en-GB"/>
                                      </w:rPr>
                                    </w:pPr>
                                    <w:bookmarkStart w:id="4" w:name="6"/>
                                    <w:r w:rsidRPr="000F3891">
                                      <w:rPr>
                                        <w:rFonts w:ascii="Arial" w:eastAsia="Times New Roman" w:hAnsi="Arial" w:cs="Arial"/>
                                        <w:b/>
                                        <w:bCs/>
                                        <w:color w:val="40688E"/>
                                        <w:lang w:val="bg-BG" w:eastAsia="en-GB"/>
                                      </w:rPr>
                                      <w:t xml:space="preserve">Характеристики на предсрочно погасяване с отрицателно компенсиране </w:t>
                                    </w:r>
                                    <w:r w:rsidR="003604F7" w:rsidRPr="000F3891">
                                      <w:rPr>
                                        <w:rFonts w:ascii="Arial" w:eastAsia="Times New Roman" w:hAnsi="Arial" w:cs="Arial"/>
                                        <w:b/>
                                        <w:bCs/>
                                        <w:color w:val="40688E"/>
                                        <w:lang w:val="bg-BG" w:eastAsia="en-GB"/>
                                      </w:rPr>
                                      <w:t>(</w:t>
                                    </w:r>
                                    <w:r w:rsidRPr="000F3891">
                                      <w:rPr>
                                        <w:rFonts w:ascii="Arial" w:eastAsia="Times New Roman" w:hAnsi="Arial" w:cs="Arial"/>
                                        <w:b/>
                                        <w:bCs/>
                                        <w:color w:val="40688E"/>
                                        <w:lang w:val="bg-BG" w:eastAsia="en-GB"/>
                                      </w:rPr>
                                      <w:t>предложени изменения в</w:t>
                                    </w:r>
                                    <w:r w:rsidR="003604F7" w:rsidRPr="000F3891">
                                      <w:rPr>
                                        <w:rFonts w:ascii="Arial" w:eastAsia="Times New Roman" w:hAnsi="Arial" w:cs="Arial"/>
                                        <w:b/>
                                        <w:bCs/>
                                        <w:color w:val="40688E"/>
                                        <w:lang w:val="bg-BG" w:eastAsia="en-GB"/>
                                      </w:rPr>
                                      <w:t xml:space="preserve"> </w:t>
                                    </w:r>
                                    <w:r w:rsidRPr="000F3891">
                                      <w:rPr>
                                        <w:rFonts w:ascii="Arial" w:eastAsia="Times New Roman" w:hAnsi="Arial" w:cs="Arial"/>
                                        <w:b/>
                                        <w:bCs/>
                                        <w:color w:val="40688E"/>
                                        <w:lang w:val="bg-BG" w:eastAsia="en-GB"/>
                                      </w:rPr>
                                      <w:t>МСФО</w:t>
                                    </w:r>
                                    <w:r w:rsidR="003604F7" w:rsidRPr="000F3891">
                                      <w:rPr>
                                        <w:rFonts w:ascii="Arial" w:eastAsia="Times New Roman" w:hAnsi="Arial" w:cs="Arial"/>
                                        <w:b/>
                                        <w:bCs/>
                                        <w:color w:val="40688E"/>
                                        <w:lang w:val="bg-BG" w:eastAsia="en-GB"/>
                                      </w:rPr>
                                      <w:t xml:space="preserve"> 9)</w:t>
                                    </w:r>
                                    <w:bookmarkEnd w:id="4"/>
                                    <w:r w:rsidR="003604F7" w:rsidRPr="000F3891">
                                      <w:rPr>
                                        <w:rFonts w:ascii="Arial" w:eastAsia="Times New Roman" w:hAnsi="Arial" w:cs="Arial"/>
                                        <w:b/>
                                        <w:bCs/>
                                        <w:color w:val="40688E"/>
                                        <w:lang w:val="bg-BG" w:eastAsia="en-GB"/>
                                      </w:rPr>
                                      <w:t xml:space="preserve"> (</w:t>
                                    </w:r>
                                    <w:r w:rsidR="00942D16" w:rsidRPr="000F3891">
                                      <w:rPr>
                                        <w:rFonts w:ascii="Arial" w:eastAsia="Times New Roman" w:hAnsi="Arial" w:cs="Arial"/>
                                        <w:b/>
                                        <w:bCs/>
                                        <w:color w:val="40688E"/>
                                        <w:lang w:val="bg-BG" w:eastAsia="en-GB"/>
                                      </w:rPr>
                                      <w:t>Документ по програмата</w:t>
                                    </w:r>
                                    <w:r w:rsidR="003604F7" w:rsidRPr="000F3891">
                                      <w:rPr>
                                        <w:rFonts w:ascii="Arial" w:eastAsia="Times New Roman" w:hAnsi="Arial" w:cs="Arial"/>
                                        <w:b/>
                                        <w:bCs/>
                                        <w:color w:val="40688E"/>
                                        <w:lang w:val="bg-BG" w:eastAsia="en-GB"/>
                                      </w:rPr>
                                      <w:t xml:space="preserve"> 3)</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На 22 юни 2017 г. Съветът проведе заседание, за да разгледа </w:t>
                                    </w:r>
                                    <w:r w:rsidR="00570065">
                                      <w:rPr>
                                        <w:rFonts w:ascii="Arial" w:eastAsia="Times New Roman" w:hAnsi="Arial" w:cs="Arial"/>
                                        <w:color w:val="5F5F60"/>
                                        <w:sz w:val="17"/>
                                        <w:szCs w:val="17"/>
                                        <w:lang w:val="bg-BG" w:eastAsia="en-GB"/>
                                      </w:rPr>
                                      <w:t>обратна информация от писмата с коментари във връзка с Проекта за обсъждане</w:t>
                                    </w:r>
                                    <w:r w:rsidR="003604F7" w:rsidRPr="003604F7">
                                      <w:rPr>
                                        <w:rFonts w:ascii="Arial" w:eastAsia="Times New Roman" w:hAnsi="Arial" w:cs="Arial"/>
                                        <w:color w:val="5F5F60"/>
                                        <w:sz w:val="17"/>
                                        <w:szCs w:val="17"/>
                                        <w:lang w:eastAsia="en-GB"/>
                                      </w:rPr>
                                      <w:t xml:space="preserve"> </w:t>
                                    </w:r>
                                    <w:r w:rsidR="00570065" w:rsidRPr="00570065">
                                      <w:rPr>
                                        <w:rFonts w:ascii="Arial" w:eastAsia="Times New Roman" w:hAnsi="Arial" w:cs="Arial"/>
                                        <w:bCs/>
                                        <w:i/>
                                        <w:iCs/>
                                        <w:color w:val="5F5F60"/>
                                        <w:sz w:val="17"/>
                                        <w:lang w:val="bg-BG" w:eastAsia="en-GB"/>
                                      </w:rPr>
                                      <w:t>Характеристики на предсрочно погасяване с отрицателно компенсиране</w:t>
                                    </w:r>
                                    <w:r w:rsidR="00570065" w:rsidRPr="00570065">
                                      <w:rPr>
                                        <w:rFonts w:ascii="Arial" w:eastAsia="Times New Roman" w:hAnsi="Arial" w:cs="Arial"/>
                                        <w:b/>
                                        <w:bCs/>
                                        <w:i/>
                                        <w:iCs/>
                                        <w:color w:val="5F5F60"/>
                                        <w:sz w:val="17"/>
                                        <w:lang w:val="bg-BG" w:eastAsia="en-GB"/>
                                      </w:rPr>
                                      <w:t xml:space="preserve"> </w:t>
                                    </w:r>
                                    <w:r w:rsidR="003604F7" w:rsidRPr="003604F7">
                                      <w:rPr>
                                        <w:rFonts w:ascii="Arial" w:eastAsia="Times New Roman" w:hAnsi="Arial" w:cs="Arial"/>
                                        <w:color w:val="5F5F60"/>
                                        <w:sz w:val="17"/>
                                        <w:szCs w:val="17"/>
                                        <w:lang w:eastAsia="en-GB"/>
                                      </w:rPr>
                                      <w:t>(</w:t>
                                    </w:r>
                                    <w:r w:rsidR="00570065">
                                      <w:rPr>
                                        <w:rFonts w:ascii="Arial" w:eastAsia="Times New Roman" w:hAnsi="Arial" w:cs="Arial"/>
                                        <w:color w:val="5F5F60"/>
                                        <w:sz w:val="17"/>
                                        <w:szCs w:val="17"/>
                                        <w:lang w:val="bg-BG" w:eastAsia="en-GB"/>
                                      </w:rPr>
                                      <w:t>предложение за изменение на</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9).</w:t>
                                    </w:r>
                                  </w:p>
                                  <w:p w:rsidR="003604F7" w:rsidRPr="003604F7" w:rsidRDefault="00570065"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Съветът разгледа и въпроси, които трябва да бъдат дебатирани по време на повторните обсъждания на предложените изменения в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9.</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sidRPr="00942D16">
                                      <w:rPr>
                                        <w:rFonts w:ascii="Arial" w:eastAsia="Times New Roman" w:hAnsi="Arial" w:cs="Arial"/>
                                        <w:color w:val="5F5F60"/>
                                        <w:sz w:val="17"/>
                                        <w:szCs w:val="17"/>
                                        <w:lang w:val="bg-BG" w:eastAsia="en-GB"/>
                                      </w:rPr>
                                      <w:lastRenderedPageBreak/>
                                      <w:t>От Съвета не бе поискано да взема каквито и да е решения</w:t>
                                    </w:r>
                                    <w:r w:rsidR="003604F7" w:rsidRPr="003604F7">
                                      <w:rPr>
                                        <w:rFonts w:ascii="Arial" w:eastAsia="Times New Roman" w:hAnsi="Arial" w:cs="Arial"/>
                                        <w:color w:val="5F5F60"/>
                                        <w:sz w:val="17"/>
                                        <w:szCs w:val="17"/>
                                        <w:lang w:eastAsia="en-GB"/>
                                      </w:rPr>
                                      <w:t>.</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t>Следващи етапи</w:t>
                                    </w:r>
                                  </w:p>
                                  <w:p w:rsidR="003604F7" w:rsidRPr="003604F7" w:rsidRDefault="00570065"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Повторните обсъждания от страна на Съвета ще се проведат по време на заседанието през юли</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3604F7" w:rsidRDefault="000F3891" w:rsidP="003604F7">
                                    <w:pPr>
                                      <w:spacing w:after="240" w:line="247" w:lineRule="atLeast"/>
                                      <w:ind w:right="978"/>
                                      <w:rPr>
                                        <w:rFonts w:ascii="Arial" w:eastAsia="Times New Roman" w:hAnsi="Arial" w:cs="Arial"/>
                                        <w:color w:val="5F5F60"/>
                                        <w:sz w:val="17"/>
                                        <w:szCs w:val="17"/>
                                        <w:lang w:eastAsia="en-GB"/>
                                      </w:rPr>
                                    </w:pPr>
                                    <w:bookmarkStart w:id="5" w:name="7"/>
                                    <w:r>
                                      <w:rPr>
                                        <w:rFonts w:ascii="Arial" w:eastAsia="Times New Roman" w:hAnsi="Arial" w:cs="Arial"/>
                                        <w:b/>
                                        <w:bCs/>
                                        <w:color w:val="40688E"/>
                                        <w:lang w:val="bg-BG" w:eastAsia="en-GB"/>
                                      </w:rPr>
                                      <w:t>Динамично управление на риска</w:t>
                                    </w:r>
                                    <w:r w:rsidR="003604F7" w:rsidRPr="003604F7">
                                      <w:rPr>
                                        <w:rFonts w:ascii="Arial" w:eastAsia="Times New Roman" w:hAnsi="Arial" w:cs="Arial"/>
                                        <w:b/>
                                        <w:bCs/>
                                        <w:color w:val="40688E"/>
                                        <w:lang w:eastAsia="en-GB"/>
                                      </w:rPr>
                                      <w:t xml:space="preserve"> (</w:t>
                                    </w:r>
                                    <w:r>
                                      <w:rPr>
                                        <w:rFonts w:ascii="Arial" w:eastAsia="Times New Roman" w:hAnsi="Arial" w:cs="Arial"/>
                                        <w:b/>
                                        <w:bCs/>
                                        <w:color w:val="40688E"/>
                                        <w:lang w:val="bg-BG" w:eastAsia="en-GB"/>
                                      </w:rPr>
                                      <w:t>образователна сесия</w:t>
                                    </w:r>
                                    <w:r w:rsidR="003604F7" w:rsidRPr="003604F7">
                                      <w:rPr>
                                        <w:rFonts w:ascii="Arial" w:eastAsia="Times New Roman" w:hAnsi="Arial" w:cs="Arial"/>
                                        <w:b/>
                                        <w:bCs/>
                                        <w:color w:val="40688E"/>
                                        <w:lang w:eastAsia="en-GB"/>
                                      </w:rPr>
                                      <w:t>)</w:t>
                                    </w:r>
                                    <w:bookmarkEnd w:id="5"/>
                                    <w:r w:rsidR="003604F7" w:rsidRPr="003604F7">
                                      <w:rPr>
                                        <w:rFonts w:ascii="Arial" w:eastAsia="Times New Roman" w:hAnsi="Arial" w:cs="Arial"/>
                                        <w:b/>
                                        <w:bCs/>
                                        <w:color w:val="40688E"/>
                                        <w:lang w:eastAsia="en-GB"/>
                                      </w:rPr>
                                      <w:t xml:space="preserve"> (</w:t>
                                    </w:r>
                                    <w:r w:rsidR="00942D16">
                                      <w:rPr>
                                        <w:rFonts w:ascii="Arial" w:eastAsia="Times New Roman" w:hAnsi="Arial" w:cs="Arial"/>
                                        <w:b/>
                                        <w:bCs/>
                                        <w:color w:val="40688E"/>
                                        <w:lang w:eastAsia="en-GB"/>
                                      </w:rPr>
                                      <w:t>Документ по програмата</w:t>
                                    </w:r>
                                    <w:r w:rsidR="003604F7" w:rsidRPr="003604F7">
                                      <w:rPr>
                                        <w:rFonts w:ascii="Arial" w:eastAsia="Times New Roman" w:hAnsi="Arial" w:cs="Arial"/>
                                        <w:b/>
                                        <w:bCs/>
                                        <w:color w:val="40688E"/>
                                        <w:lang w:eastAsia="en-GB"/>
                                      </w:rPr>
                                      <w:t xml:space="preserve"> 4)</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На 22 юни 2017 г. Съветът проведе заседание, за да се запознае с презентация, посветена на изследователския проект във връзка с динамичното управление на</w:t>
                                    </w:r>
                                    <w:r w:rsidR="00E468B4">
                                      <w:rPr>
                                        <w:rFonts w:ascii="Arial" w:eastAsia="Times New Roman" w:hAnsi="Arial" w:cs="Arial"/>
                                        <w:color w:val="5F5F60"/>
                                        <w:sz w:val="17"/>
                                        <w:szCs w:val="17"/>
                                        <w:lang w:val="bg-BG" w:eastAsia="en-GB"/>
                                      </w:rPr>
                                      <w:t xml:space="preserve"> риска</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Образователната презентация съдържаше информация </w:t>
                                    </w:r>
                                    <w:proofErr w:type="gramStart"/>
                                    <w:r>
                                      <w:rPr>
                                        <w:rFonts w:ascii="Arial" w:eastAsia="Times New Roman" w:hAnsi="Arial" w:cs="Arial"/>
                                        <w:color w:val="5F5F60"/>
                                        <w:sz w:val="17"/>
                                        <w:szCs w:val="17"/>
                                        <w:lang w:val="bg-BG" w:eastAsia="en-GB"/>
                                      </w:rPr>
                                      <w:t>относно</w:t>
                                    </w:r>
                                    <w:proofErr w:type="gramEnd"/>
                                    <w:r w:rsidR="003604F7" w:rsidRPr="003604F7">
                                      <w:rPr>
                                        <w:rFonts w:ascii="Arial" w:eastAsia="Times New Roman" w:hAnsi="Arial" w:cs="Arial"/>
                                        <w:color w:val="5F5F60"/>
                                        <w:sz w:val="17"/>
                                        <w:szCs w:val="17"/>
                                        <w:lang w:eastAsia="en-GB"/>
                                      </w:rPr>
                                      <w:t>:</w:t>
                                    </w:r>
                                  </w:p>
                                  <w:p w:rsidR="003604F7" w:rsidRPr="003604F7" w:rsidRDefault="00570065" w:rsidP="003604F7">
                                    <w:pPr>
                                      <w:numPr>
                                        <w:ilvl w:val="0"/>
                                        <w:numId w:val="4"/>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Как зрелостта на </w:t>
                                    </w:r>
                                    <w:proofErr w:type="gramStart"/>
                                    <w:r>
                                      <w:rPr>
                                        <w:rFonts w:ascii="Arial" w:eastAsia="Times New Roman" w:hAnsi="Arial" w:cs="Arial"/>
                                        <w:color w:val="5F5F60"/>
                                        <w:sz w:val="17"/>
                                        <w:szCs w:val="17"/>
                                        <w:lang w:val="bg-BG" w:eastAsia="en-GB"/>
                                      </w:rPr>
                                      <w:t>продукта</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растеж</w:t>
                                    </w:r>
                                    <w:r w:rsidR="00E468B4">
                                      <w:rPr>
                                        <w:rFonts w:ascii="Arial" w:eastAsia="Times New Roman" w:hAnsi="Arial" w:cs="Arial"/>
                                        <w:color w:val="5F5F60"/>
                                        <w:sz w:val="17"/>
                                        <w:szCs w:val="17"/>
                                        <w:lang w:val="bg-BG" w:eastAsia="en-GB"/>
                                      </w:rPr>
                                      <w:t>ът</w:t>
                                    </w:r>
                                    <w:r>
                                      <w:rPr>
                                        <w:rFonts w:ascii="Arial" w:eastAsia="Times New Roman" w:hAnsi="Arial" w:cs="Arial"/>
                                        <w:color w:val="5F5F60"/>
                                        <w:sz w:val="17"/>
                                        <w:szCs w:val="17"/>
                                        <w:lang w:val="bg-BG" w:eastAsia="en-GB"/>
                                      </w:rPr>
                                      <w:t xml:space="preserve"> на продукта</w:t>
                                    </w:r>
                                    <w:proofErr w:type="gramEnd"/>
                                    <w:r>
                                      <w:rPr>
                                        <w:rFonts w:ascii="Arial" w:eastAsia="Times New Roman" w:hAnsi="Arial" w:cs="Arial"/>
                                        <w:color w:val="5F5F60"/>
                                        <w:sz w:val="17"/>
                                        <w:szCs w:val="17"/>
                                        <w:lang w:val="bg-BG" w:eastAsia="en-GB"/>
                                      </w:rPr>
                                      <w:t xml:space="preserve"> и изминаването на времето </w:t>
                                    </w:r>
                                    <w:r w:rsidR="00F3204E">
                                      <w:rPr>
                                        <w:rFonts w:ascii="Arial" w:eastAsia="Times New Roman" w:hAnsi="Arial" w:cs="Arial"/>
                                        <w:color w:val="5F5F60"/>
                                        <w:sz w:val="17"/>
                                        <w:szCs w:val="17"/>
                                        <w:lang w:val="bg-BG" w:eastAsia="en-GB"/>
                                      </w:rPr>
                                      <w:t>биха</w:t>
                                    </w:r>
                                    <w:r>
                                      <w:rPr>
                                        <w:rFonts w:ascii="Arial" w:eastAsia="Times New Roman" w:hAnsi="Arial" w:cs="Arial"/>
                                        <w:color w:val="5F5F60"/>
                                        <w:sz w:val="17"/>
                                        <w:szCs w:val="17"/>
                                        <w:lang w:val="bg-BG" w:eastAsia="en-GB"/>
                                      </w:rPr>
                                      <w:t xml:space="preserve"> могли да окажат </w:t>
                                    </w:r>
                                    <w:r w:rsidR="00F3204E">
                                      <w:rPr>
                                        <w:rFonts w:ascii="Arial" w:eastAsia="Times New Roman" w:hAnsi="Arial" w:cs="Arial"/>
                                        <w:color w:val="5F5F60"/>
                                        <w:sz w:val="17"/>
                                        <w:szCs w:val="17"/>
                                        <w:lang w:val="bg-BG" w:eastAsia="en-GB"/>
                                      </w:rPr>
                                      <w:t>влияние</w:t>
                                    </w:r>
                                    <w:r>
                                      <w:rPr>
                                        <w:rFonts w:ascii="Arial" w:eastAsia="Times New Roman" w:hAnsi="Arial" w:cs="Arial"/>
                                        <w:color w:val="5F5F60"/>
                                        <w:sz w:val="17"/>
                                        <w:szCs w:val="17"/>
                                        <w:lang w:val="bg-BG" w:eastAsia="en-GB"/>
                                      </w:rPr>
                                      <w:t xml:space="preserve"> върху оценката на риска</w:t>
                                    </w:r>
                                    <w:r w:rsidR="003604F7" w:rsidRPr="003604F7">
                                      <w:rPr>
                                        <w:rFonts w:ascii="Arial" w:eastAsia="Times New Roman" w:hAnsi="Arial" w:cs="Arial"/>
                                        <w:color w:val="5F5F60"/>
                                        <w:sz w:val="17"/>
                                        <w:szCs w:val="17"/>
                                        <w:lang w:eastAsia="en-GB"/>
                                      </w:rPr>
                                      <w:t>;</w:t>
                                    </w:r>
                                  </w:p>
                                  <w:p w:rsidR="003604F7" w:rsidRPr="003604F7" w:rsidRDefault="00F3204E" w:rsidP="003604F7">
                                    <w:pPr>
                                      <w:numPr>
                                        <w:ilvl w:val="0"/>
                                        <w:numId w:val="4"/>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Какви мерки се предприямат в отговор на тези събития и ефекта от тези мерки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и</w:t>
                                    </w:r>
                                  </w:p>
                                  <w:p w:rsidR="003604F7" w:rsidRPr="003604F7" w:rsidRDefault="00F3204E" w:rsidP="003604F7">
                                    <w:pPr>
                                      <w:numPr>
                                        <w:ilvl w:val="0"/>
                                        <w:numId w:val="4"/>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Значението на специфичността при оценяване на риска на базата на заявена цел</w:t>
                                    </w:r>
                                    <w:r w:rsidR="003604F7" w:rsidRPr="003604F7">
                                      <w:rPr>
                                        <w:rFonts w:ascii="Arial" w:eastAsia="Times New Roman" w:hAnsi="Arial" w:cs="Arial"/>
                                        <w:color w:val="5F5F60"/>
                                        <w:sz w:val="17"/>
                                        <w:szCs w:val="17"/>
                                        <w:lang w:eastAsia="en-GB"/>
                                      </w:rPr>
                                      <w:t>.</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sidRPr="00942D16">
                                      <w:rPr>
                                        <w:rFonts w:ascii="Arial" w:eastAsia="Times New Roman" w:hAnsi="Arial" w:cs="Arial"/>
                                        <w:color w:val="5F5F60"/>
                                        <w:sz w:val="17"/>
                                        <w:szCs w:val="17"/>
                                        <w:lang w:val="bg-BG" w:eastAsia="en-GB"/>
                                      </w:rPr>
                                      <w:t>От Съвета не бе поискано да взема каквито и да е решения</w:t>
                                    </w:r>
                                    <w:r w:rsidR="003604F7" w:rsidRPr="003604F7">
                                      <w:rPr>
                                        <w:rFonts w:ascii="Arial" w:eastAsia="Times New Roman" w:hAnsi="Arial" w:cs="Arial"/>
                                        <w:color w:val="5F5F60"/>
                                        <w:sz w:val="17"/>
                                        <w:szCs w:val="17"/>
                                        <w:lang w:eastAsia="en-GB"/>
                                      </w:rPr>
                                      <w:t>.</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t>Следващи етапи</w:t>
                                    </w:r>
                                  </w:p>
                                  <w:p w:rsidR="003604F7" w:rsidRPr="003604F7" w:rsidRDefault="001923D5"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ще продължи с разискванията</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3604F7" w:rsidRDefault="000F3891" w:rsidP="003604F7">
                                    <w:pPr>
                                      <w:spacing w:after="240" w:line="247" w:lineRule="atLeast"/>
                                      <w:ind w:right="978"/>
                                      <w:rPr>
                                        <w:rFonts w:ascii="Arial" w:eastAsia="Times New Roman" w:hAnsi="Arial" w:cs="Arial"/>
                                        <w:color w:val="5F5F60"/>
                                        <w:sz w:val="17"/>
                                        <w:szCs w:val="17"/>
                                        <w:lang w:eastAsia="en-GB"/>
                                      </w:rPr>
                                    </w:pPr>
                                    <w:r>
                                      <w:rPr>
                                        <w:rFonts w:ascii="Arial" w:eastAsia="Times New Roman" w:hAnsi="Arial" w:cs="Arial"/>
                                        <w:b/>
                                        <w:bCs/>
                                        <w:color w:val="40688E"/>
                                        <w:lang w:val="bg-BG" w:eastAsia="en-GB"/>
                                      </w:rPr>
                                      <w:t>Дефиниция на бизнес</w:t>
                                    </w:r>
                                    <w:r w:rsidR="003604F7" w:rsidRPr="003604F7">
                                      <w:rPr>
                                        <w:rFonts w:ascii="Arial" w:eastAsia="Times New Roman" w:hAnsi="Arial" w:cs="Arial"/>
                                        <w:b/>
                                        <w:bCs/>
                                        <w:color w:val="40688E"/>
                                        <w:lang w:eastAsia="en-GB"/>
                                      </w:rPr>
                                      <w:t xml:space="preserve"> (</w:t>
                                    </w:r>
                                    <w:r w:rsidR="00942D16">
                                      <w:rPr>
                                        <w:rFonts w:ascii="Arial" w:eastAsia="Times New Roman" w:hAnsi="Arial" w:cs="Arial"/>
                                        <w:b/>
                                        <w:bCs/>
                                        <w:color w:val="40688E"/>
                                        <w:lang w:eastAsia="en-GB"/>
                                      </w:rPr>
                                      <w:t>Документ по програмата</w:t>
                                    </w:r>
                                    <w:r w:rsidR="003604F7" w:rsidRPr="003604F7">
                                      <w:rPr>
                                        <w:rFonts w:ascii="Arial" w:eastAsia="Times New Roman" w:hAnsi="Arial" w:cs="Arial"/>
                                        <w:b/>
                                        <w:bCs/>
                                        <w:color w:val="40688E"/>
                                        <w:lang w:eastAsia="en-GB"/>
                                      </w:rPr>
                                      <w:t xml:space="preserve"> 13)</w:t>
                                    </w:r>
                                  </w:p>
                                  <w:p w:rsidR="003604F7" w:rsidRPr="003604F7" w:rsidRDefault="00B904EE"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На 22 юни 2017 г. Съветът проведе заседание, за да поднови обсъжданията </w:t>
                                    </w:r>
                                    <w:proofErr w:type="gramStart"/>
                                    <w:r>
                                      <w:rPr>
                                        <w:rFonts w:ascii="Arial" w:eastAsia="Times New Roman" w:hAnsi="Arial" w:cs="Arial"/>
                                        <w:color w:val="5F5F60"/>
                                        <w:sz w:val="17"/>
                                        <w:szCs w:val="17"/>
                                        <w:lang w:val="bg-BG" w:eastAsia="en-GB"/>
                                      </w:rPr>
                                      <w:t>относно</w:t>
                                    </w:r>
                                    <w:proofErr w:type="gramEnd"/>
                                    <w:r>
                                      <w:rPr>
                                        <w:rFonts w:ascii="Arial" w:eastAsia="Times New Roman" w:hAnsi="Arial" w:cs="Arial"/>
                                        <w:color w:val="5F5F60"/>
                                        <w:sz w:val="17"/>
                                        <w:szCs w:val="17"/>
                                        <w:lang w:val="bg-BG" w:eastAsia="en-GB"/>
                                      </w:rPr>
                                      <w:t xml:space="preserve"> коментарите, получени във връзка с Проекта за обсъждане </w:t>
                                    </w:r>
                                    <w:r>
                                      <w:rPr>
                                        <w:rFonts w:ascii="Arial" w:eastAsia="Times New Roman" w:hAnsi="Arial" w:cs="Arial"/>
                                        <w:i/>
                                        <w:iCs/>
                                        <w:color w:val="5F5F60"/>
                                        <w:sz w:val="17"/>
                                        <w:lang w:val="bg-BG" w:eastAsia="en-GB"/>
                                      </w:rPr>
                                      <w:t>Дефиниция на бизнес и счетоводно отчитане на преди това държани дялове</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Проектът за обсъждане</w:t>
                                    </w:r>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реши в порядък на работна хипотеза</w:t>
                                    </w:r>
                                    <w:r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да</w:t>
                                    </w:r>
                                    <w:r w:rsidR="003604F7" w:rsidRPr="003604F7">
                                      <w:rPr>
                                        <w:rFonts w:ascii="Arial" w:eastAsia="Times New Roman" w:hAnsi="Arial" w:cs="Arial"/>
                                        <w:color w:val="5F5F60"/>
                                        <w:sz w:val="17"/>
                                        <w:szCs w:val="17"/>
                                        <w:lang w:eastAsia="en-GB"/>
                                      </w:rPr>
                                      <w:t>:</w:t>
                                    </w:r>
                                  </w:p>
                                  <w:p w:rsidR="003604F7" w:rsidRPr="003604F7" w:rsidRDefault="00072367"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Поясни, че за да бъде счетен за бизнес, придобит набор от дейности и активи трябва да включва като минимум входящи ресурси и съществен процес, които взети заедно се изисква да допринасят значително за способността да се създава продукция</w:t>
                                    </w:r>
                                    <w:r w:rsidR="003604F7" w:rsidRPr="003604F7">
                                      <w:rPr>
                                        <w:rFonts w:ascii="Arial" w:eastAsia="Times New Roman" w:hAnsi="Arial" w:cs="Arial"/>
                                        <w:color w:val="5F5F60"/>
                                        <w:sz w:val="17"/>
                                        <w:szCs w:val="17"/>
                                        <w:lang w:eastAsia="en-GB"/>
                                      </w:rPr>
                                      <w:t>.</w:t>
                                    </w:r>
                                  </w:p>
                                  <w:p w:rsidR="003604F7" w:rsidRPr="003604F7" w:rsidRDefault="00072367"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Препотвърди предложението за отстраняване на следния текст от параграф</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Б</w:t>
                                    </w:r>
                                    <w:r w:rsidR="003604F7" w:rsidRPr="003604F7">
                                      <w:rPr>
                                        <w:rFonts w:ascii="Arial" w:eastAsia="Times New Roman" w:hAnsi="Arial" w:cs="Arial"/>
                                        <w:color w:val="5F5F60"/>
                                        <w:sz w:val="17"/>
                                        <w:szCs w:val="17"/>
                                        <w:lang w:eastAsia="en-GB"/>
                                      </w:rPr>
                                      <w:t xml:space="preserve">8 </w:t>
                                    </w:r>
                                    <w:r>
                                      <w:rPr>
                                        <w:rFonts w:ascii="Arial" w:eastAsia="Times New Roman" w:hAnsi="Arial" w:cs="Arial"/>
                                        <w:color w:val="5F5F60"/>
                                        <w:sz w:val="17"/>
                                        <w:szCs w:val="17"/>
                                        <w:lang w:val="bg-BG" w:eastAsia="en-GB"/>
                                      </w:rPr>
                                      <w:t>на</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3 </w:t>
                                    </w:r>
                                    <w:proofErr w:type="gramStart"/>
                                    <w:r w:rsidR="000F3891">
                                      <w:rPr>
                                        <w:rFonts w:ascii="Arial" w:eastAsia="Times New Roman" w:hAnsi="Arial" w:cs="Arial"/>
                                        <w:i/>
                                        <w:iCs/>
                                        <w:color w:val="5F5F60"/>
                                        <w:sz w:val="17"/>
                                        <w:lang w:val="bg-BG" w:eastAsia="en-GB"/>
                                      </w:rPr>
                                      <w:t>Бизнес комбинации</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„Не е необходимо обаче бизнесът</w:t>
                                    </w:r>
                                    <w:proofErr w:type="gramEnd"/>
                                    <w:r>
                                      <w:rPr>
                                        <w:rFonts w:ascii="Arial" w:eastAsia="Times New Roman" w:hAnsi="Arial" w:cs="Arial"/>
                                        <w:color w:val="5F5F60"/>
                                        <w:sz w:val="17"/>
                                        <w:szCs w:val="17"/>
                                        <w:lang w:val="bg-BG" w:eastAsia="en-GB"/>
                                      </w:rPr>
                                      <w:t xml:space="preserve"> да включва всички входящи ресурси и процеси, които продавачът е използвал при осъществяването на този бизнес, ако пазарните участници са в състояние да придобият бизнеса и да продължат да произвеждат продукция, като например, интегрират бизнеса със собствените си входящи ресурси и процеси”.</w:t>
                                    </w:r>
                                  </w:p>
                                  <w:p w:rsidR="003604F7" w:rsidRPr="003604F7" w:rsidRDefault="00072367"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Препотвърди предложението за изменение на дефиницията на „продукция” чрез отстраняване на позоваването на способността за намаляване на разходите</w:t>
                                    </w:r>
                                    <w:r w:rsidR="00AB68A4">
                                      <w:rPr>
                                        <w:rFonts w:ascii="Arial" w:eastAsia="Times New Roman" w:hAnsi="Arial" w:cs="Arial"/>
                                        <w:color w:val="5F5F60"/>
                                        <w:sz w:val="17"/>
                                        <w:szCs w:val="17"/>
                                        <w:lang w:val="bg-BG" w:eastAsia="en-GB"/>
                                      </w:rPr>
                                      <w:t xml:space="preserve"> и поясняване, че „</w:t>
                                    </w:r>
                                    <w:proofErr w:type="gramStart"/>
                                    <w:r w:rsidR="00AB68A4">
                                      <w:rPr>
                                        <w:rFonts w:ascii="Arial" w:eastAsia="Times New Roman" w:hAnsi="Arial" w:cs="Arial"/>
                                        <w:color w:val="5F5F60"/>
                                        <w:sz w:val="17"/>
                                        <w:szCs w:val="17"/>
                                        <w:lang w:val="bg-BG" w:eastAsia="en-GB"/>
                                      </w:rPr>
                                      <w:t>други приходи” означава друг</w:t>
                                    </w:r>
                                    <w:proofErr w:type="gramEnd"/>
                                    <w:r w:rsidR="00AB68A4">
                                      <w:rPr>
                                        <w:rFonts w:ascii="Arial" w:eastAsia="Times New Roman" w:hAnsi="Arial" w:cs="Arial"/>
                                        <w:color w:val="5F5F60"/>
                                        <w:sz w:val="17"/>
                                        <w:szCs w:val="17"/>
                                        <w:lang w:val="bg-BG" w:eastAsia="en-GB"/>
                                      </w:rPr>
                                      <w:t xml:space="preserve"> доход, произтичащ от договори, които попадат в рамите на обичайната дейност на предприятието, но са извън обхвата на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15 </w:t>
                                    </w:r>
                                    <w:r w:rsidR="000F3891">
                                      <w:rPr>
                                        <w:rFonts w:ascii="Arial" w:eastAsia="Times New Roman" w:hAnsi="Arial" w:cs="Arial"/>
                                        <w:i/>
                                        <w:iCs/>
                                        <w:color w:val="5F5F60"/>
                                        <w:sz w:val="17"/>
                                        <w:lang w:val="bg-BG" w:eastAsia="en-GB"/>
                                      </w:rPr>
                                      <w:t>Приходи от договори с клиенти</w:t>
                                    </w:r>
                                    <w:r w:rsidR="003604F7" w:rsidRPr="003604F7">
                                      <w:rPr>
                                        <w:rFonts w:ascii="Arial" w:eastAsia="Times New Roman" w:hAnsi="Arial" w:cs="Arial"/>
                                        <w:color w:val="5F5F60"/>
                                        <w:sz w:val="17"/>
                                        <w:szCs w:val="17"/>
                                        <w:lang w:eastAsia="en-GB"/>
                                      </w:rPr>
                                      <w:t>.</w:t>
                                    </w:r>
                                  </w:p>
                                  <w:p w:rsidR="003604F7" w:rsidRPr="003604F7" w:rsidRDefault="00AB68A4"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Поясни, че ако придобит набор от активи е генерирал </w:t>
                                    </w:r>
                                    <w:proofErr w:type="gramStart"/>
                                    <w:r>
                                      <w:rPr>
                                        <w:rFonts w:ascii="Arial" w:eastAsia="Times New Roman" w:hAnsi="Arial" w:cs="Arial"/>
                                        <w:color w:val="5F5F60"/>
                                        <w:sz w:val="17"/>
                                        <w:szCs w:val="17"/>
                                        <w:lang w:val="bg-BG" w:eastAsia="en-GB"/>
                                      </w:rPr>
                                      <w:t>приходи преди придобиването, но е интегриран от придобиващия и вече не генерира приходи</w:t>
                                    </w:r>
                                    <w:proofErr w:type="gramEnd"/>
                                    <w:r>
                                      <w:rPr>
                                        <w:rFonts w:ascii="Arial" w:eastAsia="Times New Roman" w:hAnsi="Arial" w:cs="Arial"/>
                                        <w:color w:val="5F5F60"/>
                                        <w:sz w:val="17"/>
                                        <w:szCs w:val="17"/>
                                        <w:lang w:val="bg-BG" w:eastAsia="en-GB"/>
                                      </w:rPr>
                                      <w:t xml:space="preserve"> след придобиването, то за този набор от активи се счита, че създава продукция</w:t>
                                    </w:r>
                                    <w:r w:rsidR="003604F7" w:rsidRPr="003604F7">
                                      <w:rPr>
                                        <w:rFonts w:ascii="Arial" w:eastAsia="Times New Roman" w:hAnsi="Arial" w:cs="Arial"/>
                                        <w:color w:val="5F5F60"/>
                                        <w:sz w:val="17"/>
                                        <w:szCs w:val="17"/>
                                        <w:lang w:eastAsia="en-GB"/>
                                      </w:rPr>
                                      <w:t>.</w:t>
                                    </w:r>
                                  </w:p>
                                  <w:p w:rsidR="003604F7" w:rsidRPr="003604F7" w:rsidRDefault="00AB68A4"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Потвърди насоките, предложени в Проекта за обсъждане за оценяване дали е придобит съществен процес</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 xml:space="preserve">включително насоките </w:t>
                                    </w:r>
                                    <w:proofErr w:type="gramStart"/>
                                    <w:r>
                                      <w:rPr>
                                        <w:rFonts w:ascii="Arial" w:eastAsia="Times New Roman" w:hAnsi="Arial" w:cs="Arial"/>
                                        <w:color w:val="5F5F60"/>
                                        <w:sz w:val="17"/>
                                        <w:szCs w:val="17"/>
                                        <w:lang w:val="bg-BG" w:eastAsia="en-GB"/>
                                      </w:rPr>
                                      <w:t>относно</w:t>
                                    </w:r>
                                    <w:proofErr w:type="gramEnd"/>
                                    <w:r>
                                      <w:rPr>
                                        <w:rFonts w:ascii="Arial" w:eastAsia="Times New Roman" w:hAnsi="Arial" w:cs="Arial"/>
                                        <w:color w:val="5F5F60"/>
                                        <w:sz w:val="17"/>
                                        <w:szCs w:val="17"/>
                                        <w:lang w:val="bg-BG" w:eastAsia="en-GB"/>
                                      </w:rPr>
                                      <w:t xml:space="preserve"> придобити споразумения за аутсорсинг, и да посочи в насоките относно съществените процеси, че затруднения при замяната на придобита работна сила може да са индикация, че тази работна сила извършва съществен процес</w:t>
                                    </w:r>
                                    <w:r w:rsidR="003604F7" w:rsidRPr="003604F7">
                                      <w:rPr>
                                        <w:rFonts w:ascii="Arial" w:eastAsia="Times New Roman" w:hAnsi="Arial" w:cs="Arial"/>
                                        <w:color w:val="5F5F60"/>
                                        <w:sz w:val="17"/>
                                        <w:szCs w:val="17"/>
                                        <w:lang w:eastAsia="en-GB"/>
                                      </w:rPr>
                                      <w:t>.</w:t>
                                    </w:r>
                                  </w:p>
                                  <w:p w:rsidR="003604F7" w:rsidRPr="003604F7" w:rsidRDefault="00072367"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Препотвърди предложението </w:t>
                                    </w:r>
                                    <w:r w:rsidR="00AB68A4">
                                      <w:rPr>
                                        <w:rFonts w:ascii="Arial" w:eastAsia="Times New Roman" w:hAnsi="Arial" w:cs="Arial"/>
                                        <w:color w:val="5F5F60"/>
                                        <w:sz w:val="17"/>
                                        <w:szCs w:val="17"/>
                                        <w:lang w:val="bg-BG" w:eastAsia="en-GB"/>
                                      </w:rPr>
                                      <w:t>за добавяне на примери за илюстрация, които да помогнат за определяне на това какво се счита за бизнес</w:t>
                                    </w:r>
                                    <w:r w:rsidR="003604F7" w:rsidRPr="003604F7">
                                      <w:rPr>
                                        <w:rFonts w:ascii="Arial" w:eastAsia="Times New Roman" w:hAnsi="Arial" w:cs="Arial"/>
                                        <w:color w:val="5F5F60"/>
                                        <w:sz w:val="17"/>
                                        <w:szCs w:val="17"/>
                                        <w:lang w:eastAsia="en-GB"/>
                                      </w:rPr>
                                      <w:t xml:space="preserve">. </w:t>
                                    </w:r>
                                    <w:r w:rsidR="00AB68A4">
                                      <w:rPr>
                                        <w:rFonts w:ascii="Arial" w:eastAsia="Times New Roman" w:hAnsi="Arial" w:cs="Arial"/>
                                        <w:color w:val="5F5F60"/>
                                        <w:sz w:val="17"/>
                                        <w:szCs w:val="17"/>
                                        <w:lang w:val="bg-BG" w:eastAsia="en-GB"/>
                                      </w:rPr>
                                      <w:t>Съветът реши също така в порядък на работна хипотеза:</w:t>
                                    </w:r>
                                  </w:p>
                                  <w:p w:rsidR="003604F7" w:rsidRPr="003604F7" w:rsidRDefault="006C2E0D" w:rsidP="003604F7">
                                    <w:pPr>
                                      <w:numPr>
                                        <w:ilvl w:val="1"/>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Да проучи възможността да илюстрира в пример как биха могли да бъдат прилагани </w:t>
                                    </w:r>
                                    <w:r>
                                      <w:rPr>
                                        <w:rFonts w:ascii="Arial" w:eastAsia="Times New Roman" w:hAnsi="Arial" w:cs="Arial"/>
                                        <w:color w:val="5F5F60"/>
                                        <w:sz w:val="17"/>
                                        <w:szCs w:val="17"/>
                                        <w:lang w:val="bg-BG" w:eastAsia="en-GB"/>
                                      </w:rPr>
                                      <w:lastRenderedPageBreak/>
                                      <w:t xml:space="preserve">насоките </w:t>
                                    </w:r>
                                    <w:proofErr w:type="gramStart"/>
                                    <w:r>
                                      <w:rPr>
                                        <w:rFonts w:ascii="Arial" w:eastAsia="Times New Roman" w:hAnsi="Arial" w:cs="Arial"/>
                                        <w:color w:val="5F5F60"/>
                                        <w:sz w:val="17"/>
                                        <w:szCs w:val="17"/>
                                        <w:lang w:val="bg-BG" w:eastAsia="en-GB"/>
                                      </w:rPr>
                                      <w:t>относно</w:t>
                                    </w:r>
                                    <w:proofErr w:type="gramEnd"/>
                                    <w:r>
                                      <w:rPr>
                                        <w:rFonts w:ascii="Arial" w:eastAsia="Times New Roman" w:hAnsi="Arial" w:cs="Arial"/>
                                        <w:color w:val="5F5F60"/>
                                        <w:sz w:val="17"/>
                                        <w:szCs w:val="17"/>
                                        <w:lang w:val="bg-BG" w:eastAsia="en-GB"/>
                                      </w:rPr>
                                      <w:t xml:space="preserve"> споразуменията за аутсорсинг</w:t>
                                    </w:r>
                                    <w:r w:rsidR="003604F7" w:rsidRPr="003604F7">
                                      <w:rPr>
                                        <w:rFonts w:ascii="Arial" w:eastAsia="Times New Roman" w:hAnsi="Arial" w:cs="Arial"/>
                                        <w:color w:val="5F5F60"/>
                                        <w:sz w:val="17"/>
                                        <w:szCs w:val="17"/>
                                        <w:lang w:eastAsia="en-GB"/>
                                      </w:rPr>
                                      <w:t>;</w:t>
                                    </w:r>
                                    <w:r>
                                      <w:rPr>
                                        <w:rFonts w:ascii="Arial" w:eastAsia="Times New Roman" w:hAnsi="Arial" w:cs="Arial"/>
                                        <w:color w:val="5F5F60"/>
                                        <w:sz w:val="17"/>
                                        <w:szCs w:val="17"/>
                                        <w:lang w:val="bg-BG" w:eastAsia="en-GB"/>
                                      </w:rPr>
                                      <w:t xml:space="preserve"> и</w:t>
                                    </w:r>
                                  </w:p>
                                  <w:p w:rsidR="003604F7" w:rsidRPr="003604F7" w:rsidRDefault="006C2E0D" w:rsidP="003604F7">
                                    <w:pPr>
                                      <w:numPr>
                                        <w:ilvl w:val="1"/>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Да поясни модели</w:t>
                                    </w:r>
                                    <w:r w:rsidR="00E468B4">
                                      <w:rPr>
                                        <w:rFonts w:ascii="Arial" w:eastAsia="Times New Roman" w:hAnsi="Arial" w:cs="Arial"/>
                                        <w:color w:val="5F5F60"/>
                                        <w:sz w:val="17"/>
                                        <w:szCs w:val="17"/>
                                        <w:lang w:val="bg-BG" w:eastAsia="en-GB"/>
                                      </w:rPr>
                                      <w:t>те</w:t>
                                    </w:r>
                                    <w:r>
                                      <w:rPr>
                                        <w:rFonts w:ascii="Arial" w:eastAsia="Times New Roman" w:hAnsi="Arial" w:cs="Arial"/>
                                        <w:color w:val="5F5F60"/>
                                        <w:sz w:val="17"/>
                                        <w:szCs w:val="17"/>
                                        <w:lang w:val="bg-BG" w:eastAsia="en-GB"/>
                                      </w:rPr>
                                      <w:t xml:space="preserve"> на илюстративните </w:t>
                                    </w:r>
                                    <w:proofErr w:type="gramStart"/>
                                    <w:r>
                                      <w:rPr>
                                        <w:rFonts w:ascii="Arial" w:eastAsia="Times New Roman" w:hAnsi="Arial" w:cs="Arial"/>
                                        <w:color w:val="5F5F60"/>
                                        <w:sz w:val="17"/>
                                        <w:szCs w:val="17"/>
                                        <w:lang w:val="bg-BG" w:eastAsia="en-GB"/>
                                      </w:rPr>
                                      <w:t>примери</w:t>
                                    </w:r>
                                    <w:r w:rsidR="00E468B4">
                                      <w:rPr>
                                        <w:rFonts w:ascii="Arial" w:eastAsia="Times New Roman" w:hAnsi="Arial" w:cs="Arial"/>
                                        <w:color w:val="5F5F60"/>
                                        <w:sz w:val="17"/>
                                        <w:szCs w:val="17"/>
                                        <w:lang w:val="bg-BG" w:eastAsia="en-GB"/>
                                      </w:rPr>
                                      <w:t>,</w:t>
                                    </w:r>
                                    <w:r>
                                      <w:rPr>
                                        <w:rFonts w:ascii="Arial" w:eastAsia="Times New Roman" w:hAnsi="Arial" w:cs="Arial"/>
                                        <w:color w:val="5F5F60"/>
                                        <w:sz w:val="17"/>
                                        <w:szCs w:val="17"/>
                                        <w:lang w:val="bg-BG" w:eastAsia="en-GB"/>
                                      </w:rPr>
                                      <w:t xml:space="preserve"> като отдели предположенията във всеки един пример</w:t>
                                    </w:r>
                                    <w:proofErr w:type="gramEnd"/>
                                    <w:r>
                                      <w:rPr>
                                        <w:rFonts w:ascii="Arial" w:eastAsia="Times New Roman" w:hAnsi="Arial" w:cs="Arial"/>
                                        <w:color w:val="5F5F60"/>
                                        <w:sz w:val="17"/>
                                        <w:szCs w:val="17"/>
                                        <w:lang w:val="bg-BG" w:eastAsia="en-GB"/>
                                      </w:rPr>
                                      <w:t xml:space="preserve"> от заключенията</w:t>
                                    </w:r>
                                    <w:r w:rsidR="003604F7" w:rsidRPr="003604F7">
                                      <w:rPr>
                                        <w:rFonts w:ascii="Arial" w:eastAsia="Times New Roman" w:hAnsi="Arial" w:cs="Arial"/>
                                        <w:color w:val="5F5F60"/>
                                        <w:sz w:val="17"/>
                                        <w:szCs w:val="17"/>
                                        <w:lang w:eastAsia="en-GB"/>
                                      </w:rPr>
                                      <w:t>.</w:t>
                                    </w:r>
                                  </w:p>
                                  <w:p w:rsidR="003604F7" w:rsidRPr="003604F7" w:rsidRDefault="00072367" w:rsidP="003604F7">
                                    <w:pPr>
                                      <w:numPr>
                                        <w:ilvl w:val="0"/>
                                        <w:numId w:val="5"/>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Препотвърди предложението</w:t>
                                    </w:r>
                                    <w:r w:rsidR="005F68E4">
                                      <w:rPr>
                                        <w:rFonts w:ascii="Arial" w:eastAsia="Times New Roman" w:hAnsi="Arial" w:cs="Arial"/>
                                        <w:color w:val="5F5F60"/>
                                        <w:sz w:val="17"/>
                                        <w:szCs w:val="17"/>
                                        <w:lang w:val="bg-BG" w:eastAsia="en-GB"/>
                                      </w:rPr>
                                      <w:t xml:space="preserve">, че от предприятието няма да се изисква да прилага предложените </w:t>
                                    </w:r>
                                    <w:proofErr w:type="gramStart"/>
                                    <w:r w:rsidR="005F68E4">
                                      <w:rPr>
                                        <w:rFonts w:ascii="Arial" w:eastAsia="Times New Roman" w:hAnsi="Arial" w:cs="Arial"/>
                                        <w:color w:val="5F5F60"/>
                                        <w:sz w:val="17"/>
                                        <w:szCs w:val="17"/>
                                        <w:lang w:val="bg-BG" w:eastAsia="en-GB"/>
                                      </w:rPr>
                                      <w:t>изменения по отношение на сделки и операции, които възникват преди датата на влизане в сила на измененията</w:t>
                                    </w:r>
                                    <w:proofErr w:type="gramEnd"/>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sidRPr="000F3891">
                                      <w:rPr>
                                        <w:rFonts w:ascii="Arial" w:eastAsia="Times New Roman" w:hAnsi="Arial" w:cs="Arial"/>
                                        <w:color w:val="5F5F60"/>
                                        <w:sz w:val="17"/>
                                        <w:szCs w:val="17"/>
                                        <w:lang w:val="bg-BG" w:eastAsia="en-GB"/>
                                      </w:rPr>
                                      <w:t xml:space="preserve">Дванадесет от тринадесетте </w:t>
                                    </w:r>
                                    <w:proofErr w:type="gramStart"/>
                                    <w:r w:rsidRPr="000F3891">
                                      <w:rPr>
                                        <w:rFonts w:ascii="Arial" w:eastAsia="Times New Roman" w:hAnsi="Arial" w:cs="Arial"/>
                                        <w:color w:val="5F5F60"/>
                                        <w:sz w:val="17"/>
                                        <w:szCs w:val="17"/>
                                        <w:lang w:val="bg-BG" w:eastAsia="en-GB"/>
                                      </w:rPr>
                                      <w:t xml:space="preserve">членове на Съвета изразиха съгласие с тези решения, </w:t>
                                    </w:r>
                                    <w:r>
                                      <w:rPr>
                                        <w:rFonts w:ascii="Arial" w:eastAsia="Times New Roman" w:hAnsi="Arial" w:cs="Arial"/>
                                        <w:color w:val="5F5F60"/>
                                        <w:sz w:val="17"/>
                                        <w:szCs w:val="17"/>
                                        <w:lang w:val="bg-BG" w:eastAsia="en-GB"/>
                                      </w:rPr>
                                      <w:t>като</w:t>
                                    </w:r>
                                    <w:r w:rsidRPr="000F3891">
                                      <w:rPr>
                                        <w:rFonts w:ascii="Arial" w:eastAsia="Times New Roman" w:hAnsi="Arial" w:cs="Arial"/>
                                        <w:color w:val="5F5F60"/>
                                        <w:sz w:val="17"/>
                                        <w:szCs w:val="17"/>
                                        <w:lang w:val="bg-BG" w:eastAsia="en-GB"/>
                                      </w:rPr>
                                      <w:t xml:space="preserve"> един от членовете</w:t>
                                    </w:r>
                                    <w:proofErr w:type="gramEnd"/>
                                    <w:r>
                                      <w:rPr>
                                        <w:rFonts w:ascii="Arial" w:eastAsia="Times New Roman" w:hAnsi="Arial" w:cs="Arial"/>
                                        <w:color w:val="5F5F60"/>
                                        <w:sz w:val="17"/>
                                        <w:szCs w:val="17"/>
                                        <w:lang w:val="bg-BG" w:eastAsia="en-GB"/>
                                      </w:rPr>
                                      <w:t xml:space="preserve"> отсъстваше</w:t>
                                    </w:r>
                                    <w:r w:rsidR="003604F7" w:rsidRPr="003604F7">
                                      <w:rPr>
                                        <w:rFonts w:ascii="Arial" w:eastAsia="Times New Roman" w:hAnsi="Arial" w:cs="Arial"/>
                                        <w:color w:val="5F5F60"/>
                                        <w:sz w:val="17"/>
                                        <w:szCs w:val="17"/>
                                        <w:lang w:eastAsia="en-GB"/>
                                      </w:rPr>
                                      <w:t>.</w:t>
                                    </w:r>
                                  </w:p>
                                  <w:p w:rsidR="003604F7" w:rsidRPr="003604F7" w:rsidRDefault="005F68E4"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В допълнение</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Съветът реши също така в порядък на работна хипотеза</w:t>
                                    </w:r>
                                    <w:r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да приведе в съответствие дефиницията на бизнес в Приложение</w:t>
                                    </w:r>
                                    <w:r w:rsidR="003604F7" w:rsidRPr="003604F7">
                                      <w:rPr>
                                        <w:rFonts w:ascii="Arial" w:eastAsia="Times New Roman" w:hAnsi="Arial" w:cs="Arial"/>
                                        <w:color w:val="5F5F60"/>
                                        <w:sz w:val="17"/>
                                        <w:szCs w:val="17"/>
                                        <w:lang w:eastAsia="en-GB"/>
                                      </w:rPr>
                                      <w:t xml:space="preserve"> A </w:t>
                                    </w:r>
                                    <w:r>
                                      <w:rPr>
                                        <w:rFonts w:ascii="Arial" w:eastAsia="Times New Roman" w:hAnsi="Arial" w:cs="Arial"/>
                                        <w:color w:val="5F5F60"/>
                                        <w:sz w:val="17"/>
                                        <w:szCs w:val="17"/>
                                        <w:lang w:val="bg-BG" w:eastAsia="en-GB"/>
                                      </w:rPr>
                                      <w:t>на</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3 </w:t>
                                    </w:r>
                                    <w:r>
                                      <w:rPr>
                                        <w:rFonts w:ascii="Arial" w:eastAsia="Times New Roman" w:hAnsi="Arial" w:cs="Arial"/>
                                        <w:color w:val="5F5F60"/>
                                        <w:sz w:val="17"/>
                                        <w:szCs w:val="17"/>
                                        <w:lang w:val="bg-BG" w:eastAsia="en-GB"/>
                                      </w:rPr>
                                      <w:t>с преработената дефиниция на продукция в параграф</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Б</w:t>
                                    </w:r>
                                    <w:proofErr w:type="gramStart"/>
                                    <w:r w:rsidR="003604F7" w:rsidRPr="003604F7">
                                      <w:rPr>
                                        <w:rFonts w:ascii="Arial" w:eastAsia="Times New Roman" w:hAnsi="Arial" w:cs="Arial"/>
                                        <w:color w:val="5F5F60"/>
                                        <w:sz w:val="17"/>
                                        <w:szCs w:val="17"/>
                                        <w:lang w:eastAsia="en-GB"/>
                                      </w:rPr>
                                      <w:t>7(</w:t>
                                    </w:r>
                                    <w:r>
                                      <w:rPr>
                                        <w:rFonts w:ascii="Arial" w:eastAsia="Times New Roman" w:hAnsi="Arial" w:cs="Arial"/>
                                        <w:color w:val="5F5F60"/>
                                        <w:sz w:val="17"/>
                                        <w:szCs w:val="17"/>
                                        <w:lang w:val="bg-BG" w:eastAsia="en-GB"/>
                                      </w:rPr>
                                      <w:t>в</w:t>
                                    </w:r>
                                    <w:proofErr w:type="gramEnd"/>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от</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3.</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Девет от тринадесетте </w:t>
                                    </w:r>
                                    <w:proofErr w:type="gramStart"/>
                                    <w:r>
                                      <w:rPr>
                                        <w:rFonts w:ascii="Arial" w:eastAsia="Times New Roman" w:hAnsi="Arial" w:cs="Arial"/>
                                        <w:color w:val="5F5F60"/>
                                        <w:sz w:val="17"/>
                                        <w:szCs w:val="17"/>
                                        <w:lang w:val="bg-BG" w:eastAsia="en-GB"/>
                                      </w:rPr>
                                      <w:t>членове на Съвета изразиха съгласие, трима – несъгласие, а един член</w:t>
                                    </w:r>
                                    <w:proofErr w:type="gramEnd"/>
                                    <w:r>
                                      <w:rPr>
                                        <w:rFonts w:ascii="Arial" w:eastAsia="Times New Roman" w:hAnsi="Arial" w:cs="Arial"/>
                                        <w:color w:val="5F5F60"/>
                                        <w:sz w:val="17"/>
                                        <w:szCs w:val="17"/>
                                        <w:lang w:val="bg-BG" w:eastAsia="en-GB"/>
                                      </w:rPr>
                                      <w:t xml:space="preserve"> отсъстваше</w:t>
                                    </w:r>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Съветът реши също така в порядък на работна хипотеза</w:t>
                                    </w:r>
                                    <w:r w:rsidR="003604F7" w:rsidRPr="003604F7">
                                      <w:rPr>
                                        <w:rFonts w:ascii="Arial" w:eastAsia="Times New Roman" w:hAnsi="Arial" w:cs="Arial"/>
                                        <w:color w:val="5F5F60"/>
                                        <w:sz w:val="17"/>
                                        <w:szCs w:val="17"/>
                                        <w:lang w:eastAsia="en-GB"/>
                                      </w:rPr>
                                      <w:t>:</w:t>
                                    </w:r>
                                  </w:p>
                                  <w:p w:rsidR="003604F7" w:rsidRPr="003604F7" w:rsidRDefault="005F68E4" w:rsidP="003604F7">
                                    <w:pPr>
                                      <w:numPr>
                                        <w:ilvl w:val="0"/>
                                        <w:numId w:val="6"/>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Да отстрани от параграф</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Б</w:t>
                                    </w:r>
                                    <w:r w:rsidR="003604F7" w:rsidRPr="003604F7">
                                      <w:rPr>
                                        <w:rFonts w:ascii="Arial" w:eastAsia="Times New Roman" w:hAnsi="Arial" w:cs="Arial"/>
                                        <w:color w:val="5F5F60"/>
                                        <w:sz w:val="17"/>
                                        <w:szCs w:val="17"/>
                                        <w:lang w:eastAsia="en-GB"/>
                                      </w:rPr>
                                      <w:t xml:space="preserve">12 </w:t>
                                    </w:r>
                                    <w:r>
                                      <w:rPr>
                                        <w:rFonts w:ascii="Arial" w:eastAsia="Times New Roman" w:hAnsi="Arial" w:cs="Arial"/>
                                        <w:color w:val="5F5F60"/>
                                        <w:sz w:val="17"/>
                                        <w:szCs w:val="17"/>
                                        <w:lang w:val="bg-BG" w:eastAsia="en-GB"/>
                                      </w:rPr>
                                      <w:t>на</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3 </w:t>
                                    </w:r>
                                    <w:r>
                                      <w:rPr>
                                        <w:rFonts w:ascii="Arial" w:eastAsia="Times New Roman" w:hAnsi="Arial" w:cs="Arial"/>
                                        <w:color w:val="5F5F60"/>
                                        <w:sz w:val="17"/>
                                        <w:szCs w:val="17"/>
                                        <w:lang w:val="bg-BG" w:eastAsia="en-GB"/>
                                      </w:rPr>
                                      <w:t>твърдението, че набор от активи и дейности, в които присъства репутация, се предполага, че представлява бизнес</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и</w:t>
                                    </w:r>
                                  </w:p>
                                  <w:p w:rsidR="003604F7" w:rsidRPr="003604F7" w:rsidRDefault="005F68E4" w:rsidP="003604F7">
                                    <w:pPr>
                                      <w:numPr>
                                        <w:ilvl w:val="0"/>
                                        <w:numId w:val="6"/>
                                      </w:numPr>
                                      <w:spacing w:before="100" w:beforeAutospacing="1" w:after="100" w:afterAutospacing="1"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Да не включва предложеното в Проекта за обсъждане твърдение, че </w:t>
                                    </w:r>
                                    <w:r w:rsidR="00E468B4">
                                      <w:rPr>
                                        <w:rFonts w:ascii="Arial" w:eastAsia="Times New Roman" w:hAnsi="Arial" w:cs="Arial"/>
                                        <w:color w:val="5F5F60"/>
                                        <w:sz w:val="17"/>
                                        <w:szCs w:val="17"/>
                                        <w:lang w:val="bg-BG" w:eastAsia="en-GB"/>
                                      </w:rPr>
                                      <w:t>присъствието</w:t>
                                    </w:r>
                                    <w:r>
                                      <w:rPr>
                                        <w:rFonts w:ascii="Arial" w:eastAsia="Times New Roman" w:hAnsi="Arial" w:cs="Arial"/>
                                        <w:color w:val="5F5F60"/>
                                        <w:sz w:val="17"/>
                                        <w:szCs w:val="17"/>
                                        <w:lang w:val="bg-BG" w:eastAsia="en-GB"/>
                                      </w:rPr>
                                      <w:t xml:space="preserve"> на по-голям от незначителен размер на репутация може да е индикатор, че придобитият процес е съществен</w:t>
                                    </w:r>
                                    <w:r w:rsidR="003604F7" w:rsidRPr="003604F7">
                                      <w:rPr>
                                        <w:rFonts w:ascii="Arial" w:eastAsia="Times New Roman" w:hAnsi="Arial" w:cs="Arial"/>
                                        <w:color w:val="5F5F60"/>
                                        <w:sz w:val="17"/>
                                        <w:szCs w:val="17"/>
                                        <w:lang w:eastAsia="en-GB"/>
                                      </w:rPr>
                                      <w:t>.</w:t>
                                    </w:r>
                                  </w:p>
                                  <w:p w:rsidR="003604F7" w:rsidRPr="003604F7" w:rsidRDefault="000F3891"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color w:val="5F5F60"/>
                                        <w:sz w:val="17"/>
                                        <w:szCs w:val="17"/>
                                        <w:lang w:val="bg-BG" w:eastAsia="en-GB"/>
                                      </w:rPr>
                                      <w:t xml:space="preserve">Десет от тринадесетте </w:t>
                                    </w:r>
                                    <w:proofErr w:type="gramStart"/>
                                    <w:r>
                                      <w:rPr>
                                        <w:rFonts w:ascii="Arial" w:eastAsia="Times New Roman" w:hAnsi="Arial" w:cs="Arial"/>
                                        <w:color w:val="5F5F60"/>
                                        <w:sz w:val="17"/>
                                        <w:szCs w:val="17"/>
                                        <w:lang w:val="bg-BG" w:eastAsia="en-GB"/>
                                      </w:rPr>
                                      <w:t>членове на Съвета изразиха съгласие, двама – несъгласие, а един член</w:t>
                                    </w:r>
                                    <w:proofErr w:type="gramEnd"/>
                                    <w:r>
                                      <w:rPr>
                                        <w:rFonts w:ascii="Arial" w:eastAsia="Times New Roman" w:hAnsi="Arial" w:cs="Arial"/>
                                        <w:color w:val="5F5F60"/>
                                        <w:sz w:val="17"/>
                                        <w:szCs w:val="17"/>
                                        <w:lang w:val="bg-BG" w:eastAsia="en-GB"/>
                                      </w:rPr>
                                      <w:t xml:space="preserve"> отсъстваше</w:t>
                                    </w:r>
                                    <w:r w:rsidR="003604F7" w:rsidRPr="003604F7">
                                      <w:rPr>
                                        <w:rFonts w:ascii="Arial" w:eastAsia="Times New Roman" w:hAnsi="Arial" w:cs="Arial"/>
                                        <w:color w:val="5F5F60"/>
                                        <w:sz w:val="17"/>
                                        <w:szCs w:val="17"/>
                                        <w:lang w:eastAsia="en-GB"/>
                                      </w:rPr>
                                      <w:t>.</w:t>
                                    </w:r>
                                  </w:p>
                                  <w:p w:rsidR="003604F7" w:rsidRPr="003604F7" w:rsidRDefault="00942D16" w:rsidP="003604F7">
                                    <w:pPr>
                                      <w:spacing w:after="0" w:line="247" w:lineRule="atLeast"/>
                                      <w:ind w:right="978"/>
                                      <w:rPr>
                                        <w:rFonts w:ascii="Arial" w:eastAsia="Times New Roman" w:hAnsi="Arial" w:cs="Arial"/>
                                        <w:color w:val="5F5F60"/>
                                        <w:sz w:val="17"/>
                                        <w:szCs w:val="17"/>
                                        <w:lang w:eastAsia="en-GB"/>
                                      </w:rPr>
                                    </w:pPr>
                                    <w:r>
                                      <w:rPr>
                                        <w:rFonts w:ascii="Arial" w:eastAsia="Times New Roman" w:hAnsi="Arial" w:cs="Arial"/>
                                        <w:b/>
                                        <w:bCs/>
                                        <w:color w:val="5F5F60"/>
                                        <w:sz w:val="17"/>
                                        <w:lang w:eastAsia="en-GB"/>
                                      </w:rPr>
                                      <w:t>Следващи етапи</w:t>
                                    </w:r>
                                  </w:p>
                                  <w:p w:rsidR="003604F7" w:rsidRPr="003604F7" w:rsidRDefault="005F68E4" w:rsidP="003604F7">
                                    <w:pPr>
                                      <w:spacing w:after="0" w:line="247" w:lineRule="atLeast"/>
                                      <w:ind w:right="978"/>
                                      <w:rPr>
                                        <w:rFonts w:ascii="Arial" w:eastAsia="Times New Roman" w:hAnsi="Arial" w:cs="Arial"/>
                                        <w:color w:val="5F5F60"/>
                                        <w:sz w:val="17"/>
                                        <w:szCs w:val="17"/>
                                        <w:lang w:eastAsia="en-GB"/>
                                      </w:rPr>
                                    </w:pPr>
                                    <w:proofErr w:type="gramStart"/>
                                    <w:r>
                                      <w:rPr>
                                        <w:rFonts w:ascii="Arial" w:eastAsia="Times New Roman" w:hAnsi="Arial" w:cs="Arial"/>
                                        <w:color w:val="5F5F60"/>
                                        <w:sz w:val="17"/>
                                        <w:szCs w:val="17"/>
                                        <w:lang w:val="bg-BG" w:eastAsia="en-GB"/>
                                      </w:rPr>
                                      <w:t>Съветът ще обсъди на бъдещо свое заседание съпоставка между Актуализация на счетоводни стандарти на Съвета</w:t>
                                    </w:r>
                                    <w:proofErr w:type="gramEnd"/>
                                    <w:r>
                                      <w:rPr>
                                        <w:rFonts w:ascii="Arial" w:eastAsia="Times New Roman" w:hAnsi="Arial" w:cs="Arial"/>
                                        <w:color w:val="5F5F60"/>
                                        <w:sz w:val="17"/>
                                        <w:szCs w:val="17"/>
                                        <w:lang w:val="bg-BG" w:eastAsia="en-GB"/>
                                      </w:rPr>
                                      <w:t xml:space="preserve"> по финансово-счетоводни стандарти на САЩ (</w:t>
                                    </w:r>
                                    <w:r w:rsidR="003604F7" w:rsidRPr="003604F7">
                                      <w:rPr>
                                        <w:rFonts w:ascii="Arial" w:eastAsia="Times New Roman" w:hAnsi="Arial" w:cs="Arial"/>
                                        <w:color w:val="5F5F60"/>
                                        <w:sz w:val="17"/>
                                        <w:szCs w:val="17"/>
                                        <w:lang w:eastAsia="en-GB"/>
                                      </w:rPr>
                                      <w:t>FASB</w:t>
                                    </w:r>
                                    <w:r>
                                      <w:rPr>
                                        <w:rFonts w:ascii="Arial" w:eastAsia="Times New Roman" w:hAnsi="Arial" w:cs="Arial"/>
                                        <w:color w:val="5F5F60"/>
                                        <w:sz w:val="17"/>
                                        <w:szCs w:val="17"/>
                                        <w:lang w:val="bg-BG" w:eastAsia="en-GB"/>
                                      </w:rPr>
                                      <w:t>)</w:t>
                                    </w:r>
                                    <w:r w:rsidR="003604F7" w:rsidRPr="003604F7">
                                      <w:rPr>
                                        <w:rFonts w:ascii="Arial" w:eastAsia="Times New Roman" w:hAnsi="Arial" w:cs="Arial"/>
                                        <w:color w:val="5F5F60"/>
                                        <w:sz w:val="17"/>
                                        <w:szCs w:val="17"/>
                                        <w:lang w:eastAsia="en-GB"/>
                                      </w:rPr>
                                      <w:t xml:space="preserve"> 2017–01 </w:t>
                                    </w:r>
                                    <w:r>
                                      <w:rPr>
                                        <w:rFonts w:ascii="Arial" w:eastAsia="Times New Roman" w:hAnsi="Arial" w:cs="Arial"/>
                                        <w:i/>
                                        <w:iCs/>
                                        <w:color w:val="5F5F60"/>
                                        <w:sz w:val="17"/>
                                        <w:lang w:val="bg-BG" w:eastAsia="en-GB"/>
                                      </w:rPr>
                                      <w:t>Поясняване дефиницията на бизнес</w:t>
                                    </w:r>
                                    <w:r w:rsidR="003604F7" w:rsidRPr="003604F7">
                                      <w:rPr>
                                        <w:rFonts w:ascii="Arial" w:eastAsia="Times New Roman" w:hAnsi="Arial" w:cs="Arial"/>
                                        <w:color w:val="5F5F60"/>
                                        <w:sz w:val="17"/>
                                        <w:szCs w:val="17"/>
                                        <w:lang w:eastAsia="en-GB"/>
                                      </w:rPr>
                                      <w:t xml:space="preserve"> </w:t>
                                    </w:r>
                                    <w:r>
                                      <w:rPr>
                                        <w:rFonts w:ascii="Arial" w:eastAsia="Times New Roman" w:hAnsi="Arial" w:cs="Arial"/>
                                        <w:color w:val="5F5F60"/>
                                        <w:sz w:val="17"/>
                                        <w:szCs w:val="17"/>
                                        <w:lang w:val="bg-BG" w:eastAsia="en-GB"/>
                                      </w:rPr>
                                      <w:t>и проекта на изменения в</w:t>
                                    </w:r>
                                    <w:r w:rsidR="003604F7" w:rsidRPr="003604F7">
                                      <w:rPr>
                                        <w:rFonts w:ascii="Arial" w:eastAsia="Times New Roman" w:hAnsi="Arial" w:cs="Arial"/>
                                        <w:color w:val="5F5F60"/>
                                        <w:sz w:val="17"/>
                                        <w:szCs w:val="17"/>
                                        <w:lang w:eastAsia="en-GB"/>
                                      </w:rPr>
                                      <w:t xml:space="preserve"> </w:t>
                                    </w:r>
                                    <w:r w:rsidR="000F3891">
                                      <w:rPr>
                                        <w:rFonts w:ascii="Arial" w:eastAsia="Times New Roman" w:hAnsi="Arial" w:cs="Arial"/>
                                        <w:color w:val="5F5F60"/>
                                        <w:sz w:val="17"/>
                                        <w:szCs w:val="17"/>
                                        <w:lang w:eastAsia="en-GB"/>
                                      </w:rPr>
                                      <w:t>МСФО</w:t>
                                    </w:r>
                                    <w:r w:rsidR="003604F7" w:rsidRPr="003604F7">
                                      <w:rPr>
                                        <w:rFonts w:ascii="Arial" w:eastAsia="Times New Roman" w:hAnsi="Arial" w:cs="Arial"/>
                                        <w:color w:val="5F5F60"/>
                                        <w:sz w:val="17"/>
                                        <w:szCs w:val="17"/>
                                        <w:lang w:eastAsia="en-GB"/>
                                      </w:rPr>
                                      <w:t xml:space="preserve"> 3. </w:t>
                                    </w:r>
                                    <w:r>
                                      <w:rPr>
                                        <w:rFonts w:ascii="Arial" w:eastAsia="Times New Roman" w:hAnsi="Arial" w:cs="Arial"/>
                                        <w:color w:val="5F5F60"/>
                                        <w:sz w:val="17"/>
                                        <w:szCs w:val="17"/>
                                        <w:lang w:val="bg-BG" w:eastAsia="en-GB"/>
                                      </w:rPr>
                                      <w:t xml:space="preserve">На това заседание Съветът ще получи искане от страна на екипа за разрешение да се пристъпи </w:t>
                                    </w:r>
                                    <w:r w:rsidR="00E73E97">
                                      <w:rPr>
                                        <w:rFonts w:ascii="Arial" w:eastAsia="Times New Roman" w:hAnsi="Arial" w:cs="Arial"/>
                                        <w:color w:val="5F5F60"/>
                                        <w:sz w:val="17"/>
                                        <w:szCs w:val="17"/>
                                        <w:lang w:val="bg-BG" w:eastAsia="en-GB"/>
                                      </w:rPr>
                                      <w:t>към</w:t>
                                    </w:r>
                                    <w:r>
                                      <w:rPr>
                                        <w:rFonts w:ascii="Arial" w:eastAsia="Times New Roman" w:hAnsi="Arial" w:cs="Arial"/>
                                        <w:color w:val="5F5F60"/>
                                        <w:sz w:val="17"/>
                                        <w:szCs w:val="17"/>
                                        <w:lang w:val="bg-BG" w:eastAsia="en-GB"/>
                                      </w:rPr>
                                      <w:t xml:space="preserve"> </w:t>
                                    </w:r>
                                    <w:r w:rsidR="00E73E97">
                                      <w:rPr>
                                        <w:rFonts w:ascii="Arial" w:eastAsia="Times New Roman" w:hAnsi="Arial" w:cs="Arial"/>
                                        <w:color w:val="5F5F60"/>
                                        <w:sz w:val="17"/>
                                        <w:szCs w:val="17"/>
                                        <w:lang w:val="bg-BG" w:eastAsia="en-GB"/>
                                      </w:rPr>
                                      <w:t>изготвяне</w:t>
                                    </w:r>
                                    <w:r>
                                      <w:rPr>
                                        <w:rFonts w:ascii="Arial" w:eastAsia="Times New Roman" w:hAnsi="Arial" w:cs="Arial"/>
                                        <w:color w:val="5F5F60"/>
                                        <w:sz w:val="17"/>
                                        <w:szCs w:val="17"/>
                                        <w:lang w:val="bg-BG" w:eastAsia="en-GB"/>
                                      </w:rPr>
                                      <w:t xml:space="preserve"> на проекта на окончателните изменения</w:t>
                                    </w:r>
                                    <w:r w:rsidR="003604F7" w:rsidRPr="003604F7">
                                      <w:rPr>
                                        <w:rFonts w:ascii="Arial" w:eastAsia="Times New Roman" w:hAnsi="Arial" w:cs="Arial"/>
                                        <w:color w:val="5F5F60"/>
                                        <w:sz w:val="17"/>
                                        <w:szCs w:val="17"/>
                                        <w:lang w:eastAsia="en-GB"/>
                                      </w:rPr>
                                      <w:t>.</w:t>
                                    </w:r>
                                  </w:p>
                                  <w:p w:rsidR="003604F7" w:rsidRPr="003604F7" w:rsidRDefault="003604F7" w:rsidP="003604F7">
                                    <w:pPr>
                                      <w:spacing w:after="240" w:line="247" w:lineRule="atLeast"/>
                                      <w:ind w:right="978"/>
                                      <w:rPr>
                                        <w:rFonts w:ascii="Times New Roman" w:eastAsia="Times New Roman" w:hAnsi="Times New Roman" w:cs="Times New Roman"/>
                                        <w:color w:val="5F5F60"/>
                                        <w:sz w:val="17"/>
                                        <w:szCs w:val="17"/>
                                        <w:lang w:eastAsia="en-GB"/>
                                      </w:rPr>
                                    </w:pPr>
                                    <w:r w:rsidRPr="003604F7">
                                      <w:rPr>
                                        <w:rFonts w:ascii="Arial" w:eastAsia="Times New Roman" w:hAnsi="Arial" w:cs="Arial"/>
                                        <w:color w:val="5F5F60"/>
                                        <w:sz w:val="17"/>
                                        <w:szCs w:val="17"/>
                                        <w:lang w:eastAsia="en-GB"/>
                                      </w:rPr>
                                      <w:br/>
                                    </w:r>
                                  </w:p>
                                  <w:p w:rsidR="003604F7" w:rsidRPr="003604F7" w:rsidRDefault="00942D16" w:rsidP="003604F7">
                                    <w:pPr>
                                      <w:spacing w:after="240" w:line="247" w:lineRule="atLeast"/>
                                      <w:ind w:right="978"/>
                                      <w:rPr>
                                        <w:rFonts w:ascii="Times New Roman" w:eastAsia="Times New Roman" w:hAnsi="Times New Roman" w:cs="Times New Roman"/>
                                        <w:sz w:val="24"/>
                                        <w:szCs w:val="24"/>
                                        <w:lang w:eastAsia="en-GB"/>
                                      </w:rPr>
                                    </w:pPr>
                                    <w:r w:rsidRPr="00942D16">
                                      <w:rPr>
                                        <w:rFonts w:ascii="Arial" w:eastAsia="Times New Roman" w:hAnsi="Arial" w:cs="Arial"/>
                                        <w:b/>
                                        <w:bCs/>
                                        <w:color w:val="40688E"/>
                                        <w:lang w:val="bg-BG" w:eastAsia="en-GB"/>
                                      </w:rPr>
                                      <w:t>Работна програма</w:t>
                                    </w:r>
                                    <w:r w:rsidRPr="00942D16">
                                      <w:rPr>
                                        <w:rFonts w:ascii="Arial" w:eastAsia="Times New Roman" w:hAnsi="Arial" w:cs="Arial"/>
                                        <w:b/>
                                        <w:bCs/>
                                        <w:color w:val="40688E"/>
                                        <w:lang w:val="en-US" w:eastAsia="en-GB"/>
                                      </w:rPr>
                                      <w:t>—</w:t>
                                    </w:r>
                                    <w:r w:rsidRPr="00942D16">
                                      <w:rPr>
                                        <w:rFonts w:ascii="Arial" w:eastAsia="Times New Roman" w:hAnsi="Arial" w:cs="Arial"/>
                                        <w:b/>
                                        <w:bCs/>
                                        <w:color w:val="40688E"/>
                                        <w:lang w:val="bg-BG" w:eastAsia="en-GB"/>
                                      </w:rPr>
                                      <w:t xml:space="preserve">прогнозни цели към </w:t>
                                    </w:r>
                                    <w:r w:rsidR="003604F7" w:rsidRPr="003604F7">
                                      <w:rPr>
                                        <w:rFonts w:ascii="Arial" w:eastAsia="Times New Roman" w:hAnsi="Arial" w:cs="Arial"/>
                                        <w:b/>
                                        <w:bCs/>
                                        <w:color w:val="40688E"/>
                                        <w:lang w:eastAsia="en-GB"/>
                                      </w:rPr>
                                      <w:t xml:space="preserve">23 </w:t>
                                    </w:r>
                                    <w:r>
                                      <w:rPr>
                                        <w:rFonts w:ascii="Arial" w:eastAsia="Times New Roman" w:hAnsi="Arial" w:cs="Arial"/>
                                        <w:b/>
                                        <w:bCs/>
                                        <w:color w:val="40688E"/>
                                        <w:lang w:val="bg-BG" w:eastAsia="en-GB"/>
                                      </w:rPr>
                                      <w:t>юни</w:t>
                                    </w:r>
                                    <w:r w:rsidR="003604F7" w:rsidRPr="003604F7">
                                      <w:rPr>
                                        <w:rFonts w:ascii="Arial" w:eastAsia="Times New Roman" w:hAnsi="Arial" w:cs="Arial"/>
                                        <w:b/>
                                        <w:bCs/>
                                        <w:color w:val="40688E"/>
                                        <w:lang w:eastAsia="en-GB"/>
                                      </w:rPr>
                                      <w:t xml:space="preserve"> 2017</w:t>
                                    </w:r>
                                    <w:r>
                                      <w:rPr>
                                        <w:rFonts w:ascii="Arial" w:eastAsia="Times New Roman" w:hAnsi="Arial" w:cs="Arial"/>
                                        <w:b/>
                                        <w:bCs/>
                                        <w:color w:val="40688E"/>
                                        <w:lang w:val="bg-BG" w:eastAsia="en-GB"/>
                                      </w:rPr>
                                      <w:t xml:space="preserve"> г.</w:t>
                                    </w:r>
                                    <w:r w:rsidR="003604F7" w:rsidRPr="003604F7">
                                      <w:rPr>
                                        <w:rFonts w:ascii="Times New Roman" w:eastAsia="Times New Roman" w:hAnsi="Times New Roman" w:cs="Times New Roman"/>
                                        <w:sz w:val="24"/>
                                        <w:szCs w:val="24"/>
                                        <w:lang w:eastAsia="en-GB"/>
                                      </w:rPr>
                                      <w:br/>
                                    </w:r>
                                  </w:p>
                                  <w:p w:rsidR="003604F7" w:rsidRPr="003604F7" w:rsidRDefault="00942D16" w:rsidP="00942D16">
                                    <w:pPr>
                                      <w:spacing w:after="0" w:line="247" w:lineRule="atLeast"/>
                                      <w:ind w:right="978"/>
                                      <w:rPr>
                                        <w:rFonts w:ascii="Arial" w:eastAsia="Times New Roman" w:hAnsi="Arial" w:cs="Arial"/>
                                        <w:color w:val="5F5F60"/>
                                        <w:sz w:val="17"/>
                                        <w:szCs w:val="17"/>
                                        <w:lang w:eastAsia="en-GB"/>
                                      </w:rPr>
                                    </w:pPr>
                                    <w:r w:rsidRPr="00942D16">
                                      <w:rPr>
                                        <w:rFonts w:ascii="Arial" w:eastAsia="Times New Roman" w:hAnsi="Arial" w:cs="Arial"/>
                                        <w:color w:val="5F5F60"/>
                                        <w:sz w:val="17"/>
                                        <w:szCs w:val="17"/>
                                        <w:lang w:val="bg-BG" w:eastAsia="en-GB"/>
                                      </w:rPr>
                                      <w:t>Работната програма, отразяваща решенията, взети на това заседание е актуализирана на уебсайта на Съвета по международни счетоводни стандарти (IASB) на</w:t>
                                    </w:r>
                                    <w:r w:rsidRPr="00942D16">
                                      <w:rPr>
                                        <w:rFonts w:ascii="Arial" w:eastAsia="Times New Roman" w:hAnsi="Arial" w:cs="Arial"/>
                                        <w:color w:val="5F5F60"/>
                                        <w:sz w:val="17"/>
                                        <w:szCs w:val="17"/>
                                        <w:lang w:val="en-US" w:eastAsia="en-GB"/>
                                      </w:rPr>
                                      <w:t xml:space="preserve"> </w:t>
                                    </w:r>
                                    <w:r w:rsidR="003604F7" w:rsidRPr="003604F7">
                                      <w:rPr>
                                        <w:rFonts w:ascii="Arial" w:eastAsia="Times New Roman" w:hAnsi="Arial" w:cs="Arial"/>
                                        <w:color w:val="5F5F60"/>
                                        <w:sz w:val="17"/>
                                        <w:szCs w:val="17"/>
                                        <w:lang w:eastAsia="en-GB"/>
                                      </w:rPr>
                                      <w:t xml:space="preserve">23 </w:t>
                                    </w:r>
                                    <w:r>
                                      <w:rPr>
                                        <w:rFonts w:ascii="Arial" w:eastAsia="Times New Roman" w:hAnsi="Arial" w:cs="Arial"/>
                                        <w:color w:val="5F5F60"/>
                                        <w:sz w:val="17"/>
                                        <w:szCs w:val="17"/>
                                        <w:lang w:val="bg-BG" w:eastAsia="en-GB"/>
                                      </w:rPr>
                                      <w:t>юни</w:t>
                                    </w:r>
                                    <w:r w:rsidR="003604F7" w:rsidRPr="003604F7">
                                      <w:rPr>
                                        <w:rFonts w:ascii="Arial" w:eastAsia="Times New Roman" w:hAnsi="Arial" w:cs="Arial"/>
                                        <w:color w:val="5F5F60"/>
                                        <w:sz w:val="17"/>
                                        <w:szCs w:val="17"/>
                                        <w:lang w:eastAsia="en-GB"/>
                                      </w:rPr>
                                      <w:t xml:space="preserve"> 2017</w:t>
                                    </w:r>
                                    <w:r>
                                      <w:rPr>
                                        <w:rFonts w:ascii="Arial" w:eastAsia="Times New Roman" w:hAnsi="Arial" w:cs="Arial"/>
                                        <w:color w:val="5F5F60"/>
                                        <w:sz w:val="17"/>
                                        <w:szCs w:val="17"/>
                                        <w:lang w:val="bg-BG" w:eastAsia="en-GB"/>
                                      </w:rPr>
                                      <w:t xml:space="preserve"> г</w:t>
                                    </w:r>
                                    <w:r w:rsidR="003604F7" w:rsidRPr="003604F7">
                                      <w:rPr>
                                        <w:rFonts w:ascii="Arial" w:eastAsia="Times New Roman" w:hAnsi="Arial" w:cs="Arial"/>
                                        <w:color w:val="5F5F60"/>
                                        <w:sz w:val="17"/>
                                        <w:szCs w:val="17"/>
                                        <w:lang w:eastAsia="en-GB"/>
                                      </w:rPr>
                                      <w:t xml:space="preserve">. </w:t>
                                    </w:r>
                                    <w:hyperlink r:id="rId6" w:history="1">
                                      <w:r>
                                        <w:rPr>
                                          <w:rFonts w:ascii="Arial" w:eastAsia="Times New Roman" w:hAnsi="Arial" w:cs="Arial"/>
                                          <w:b/>
                                          <w:bCs/>
                                          <w:color w:val="40688E"/>
                                          <w:sz w:val="17"/>
                                          <w:lang w:val="bg-BG" w:eastAsia="en-GB"/>
                                        </w:rPr>
                                        <w:t>Вижте я тук</w:t>
                                      </w:r>
                                    </w:hyperlink>
                                    <w:r w:rsidR="003604F7" w:rsidRPr="003604F7">
                                      <w:rPr>
                                        <w:rFonts w:ascii="Arial" w:eastAsia="Times New Roman" w:hAnsi="Arial" w:cs="Arial"/>
                                        <w:color w:val="5F5F60"/>
                                        <w:sz w:val="17"/>
                                        <w:szCs w:val="17"/>
                                        <w:lang w:eastAsia="en-GB"/>
                                      </w:rPr>
                                      <w:t>.</w:t>
                                    </w:r>
                                  </w:p>
                                </w:tc>
                              </w:tr>
                            </w:tbl>
                            <w:p w:rsidR="003604F7" w:rsidRPr="003604F7" w:rsidRDefault="003604F7" w:rsidP="003604F7">
                              <w:pPr>
                                <w:spacing w:after="240" w:line="240" w:lineRule="auto"/>
                                <w:rPr>
                                  <w:rFonts w:ascii="Helvetica" w:eastAsia="Times New Roman" w:hAnsi="Helvetica" w:cs="Helvetica"/>
                                  <w:sz w:val="24"/>
                                  <w:szCs w:val="24"/>
                                  <w:lang w:eastAsia="en-GB"/>
                                </w:rPr>
                              </w:pPr>
                              <w:r w:rsidRPr="003604F7">
                                <w:rPr>
                                  <w:rFonts w:ascii="Helvetica" w:eastAsia="Times New Roman" w:hAnsi="Helvetica" w:cs="Helvetica"/>
                                  <w:sz w:val="24"/>
                                  <w:szCs w:val="24"/>
                                  <w:lang w:eastAsia="en-GB"/>
                                </w:rPr>
                                <w:lastRenderedPageBreak/>
                                <w:br/>
                              </w:r>
                            </w:p>
                          </w:tc>
                        </w:tr>
                      </w:tbl>
                      <w:p w:rsidR="003604F7" w:rsidRPr="003604F7" w:rsidRDefault="003604F7" w:rsidP="003604F7">
                        <w:pPr>
                          <w:spacing w:after="0" w:line="240" w:lineRule="auto"/>
                          <w:rPr>
                            <w:rFonts w:ascii="Times New Roman" w:eastAsia="Times New Roman" w:hAnsi="Times New Roman" w:cs="Times New Roman"/>
                            <w:sz w:val="24"/>
                            <w:szCs w:val="24"/>
                            <w:lang w:eastAsia="en-GB"/>
                          </w:rPr>
                        </w:pPr>
                      </w:p>
                    </w:tc>
                  </w:tr>
                </w:tbl>
                <w:p w:rsidR="003604F7" w:rsidRPr="003604F7" w:rsidRDefault="003604F7" w:rsidP="003604F7">
                  <w:pPr>
                    <w:spacing w:after="0" w:line="240" w:lineRule="auto"/>
                    <w:rPr>
                      <w:rFonts w:ascii="Times New Roman" w:eastAsia="Times New Roman" w:hAnsi="Times New Roman" w:cs="Times New Roman"/>
                      <w:sz w:val="24"/>
                      <w:szCs w:val="24"/>
                      <w:lang w:eastAsia="en-GB"/>
                    </w:rPr>
                  </w:pPr>
                </w:p>
              </w:tc>
            </w:tr>
            <w:tr w:rsidR="003604F7" w:rsidRPr="003604F7">
              <w:trPr>
                <w:tblCellSpacing w:w="0" w:type="dxa"/>
                <w:jc w:val="center"/>
              </w:trPr>
              <w:tc>
                <w:tcPr>
                  <w:tcW w:w="0" w:type="auto"/>
                  <w:shd w:val="clear" w:color="auto" w:fill="B9D4E5"/>
                  <w:tcMar>
                    <w:top w:w="137" w:type="dxa"/>
                    <w:left w:w="137" w:type="dxa"/>
                    <w:bottom w:w="137" w:type="dxa"/>
                    <w:right w:w="137" w:type="dxa"/>
                  </w:tcMar>
                  <w:vAlign w:val="center"/>
                  <w:hideMark/>
                </w:tcPr>
                <w:p w:rsidR="003604F7" w:rsidRPr="003604F7" w:rsidRDefault="00942D16" w:rsidP="00942D16">
                  <w:pPr>
                    <w:spacing w:after="0" w:line="240" w:lineRule="auto"/>
                    <w:rPr>
                      <w:rFonts w:ascii="Arial" w:eastAsia="Times New Roman" w:hAnsi="Arial" w:cs="Arial"/>
                      <w:color w:val="5F5F60"/>
                      <w:sz w:val="14"/>
                      <w:szCs w:val="14"/>
                      <w:lang w:eastAsia="en-GB"/>
                    </w:rPr>
                  </w:pPr>
                  <w:r w:rsidRPr="00942D16">
                    <w:rPr>
                      <w:rFonts w:ascii="Arial" w:eastAsia="Times New Roman" w:hAnsi="Arial" w:cs="Arial"/>
                      <w:color w:val="5F5F60"/>
                      <w:sz w:val="14"/>
                      <w:szCs w:val="14"/>
                      <w:lang w:val="bg-BG" w:eastAsia="en-GB"/>
                    </w:rPr>
                    <w:lastRenderedPageBreak/>
                    <w:t xml:space="preserve">Моля отбележете, че информацията, публикувана в настоящия бюлетин произхожда от различни източници и е точна, доколкото това ни е известно. Съветът по международни счетоводни стандарти и Фондация МСФО обаче не носят отговорност за загуби, причинени на лице, което предприема </w:t>
                  </w:r>
                  <w:proofErr w:type="gramStart"/>
                  <w:r w:rsidRPr="00942D16">
                    <w:rPr>
                      <w:rFonts w:ascii="Arial" w:eastAsia="Times New Roman" w:hAnsi="Arial" w:cs="Arial"/>
                      <w:color w:val="5F5F60"/>
                      <w:sz w:val="14"/>
                      <w:szCs w:val="14"/>
                      <w:lang w:val="bg-BG" w:eastAsia="en-GB"/>
                    </w:rPr>
                    <w:t>действия или се въздържа от предприемането на действия</w:t>
                  </w:r>
                  <w:proofErr w:type="gramEnd"/>
                  <w:r w:rsidRPr="00942D16">
                    <w:rPr>
                      <w:rFonts w:ascii="Arial" w:eastAsia="Times New Roman" w:hAnsi="Arial" w:cs="Arial"/>
                      <w:color w:val="5F5F60"/>
                      <w:sz w:val="14"/>
                      <w:szCs w:val="14"/>
                      <w:lang w:val="bg-BG" w:eastAsia="en-GB"/>
                    </w:rPr>
                    <w:t>, разчитайки на материалите в настоящата публикация, независимо дали тези загуби са причинени поради небрежност, или по друг начин</w:t>
                  </w:r>
                  <w:r w:rsidR="003604F7" w:rsidRPr="003604F7">
                    <w:rPr>
                      <w:rFonts w:ascii="Arial" w:eastAsia="Times New Roman" w:hAnsi="Arial" w:cs="Arial"/>
                      <w:color w:val="5F5F60"/>
                      <w:sz w:val="14"/>
                      <w:szCs w:val="14"/>
                      <w:lang w:eastAsia="en-GB"/>
                    </w:rPr>
                    <w:t>.</w:t>
                  </w:r>
                </w:p>
              </w:tc>
            </w:tr>
          </w:tbl>
          <w:p w:rsidR="00942D16" w:rsidRPr="006C18E6" w:rsidRDefault="00942D16" w:rsidP="00942D16">
            <w:pPr>
              <w:spacing w:after="0" w:line="240" w:lineRule="auto"/>
              <w:jc w:val="center"/>
              <w:rPr>
                <w:rFonts w:ascii="Arial" w:eastAsia="Times New Roman" w:hAnsi="Arial" w:cs="Arial"/>
                <w:color w:val="5F5F60"/>
                <w:sz w:val="15"/>
                <w:szCs w:val="15"/>
                <w:lang w:val="bg-BG"/>
              </w:rPr>
            </w:pPr>
            <w:r w:rsidRPr="006C18E6">
              <w:rPr>
                <w:rFonts w:ascii="Arial" w:eastAsia="Times New Roman" w:hAnsi="Arial" w:cs="Arial"/>
                <w:color w:val="5F5F60"/>
                <w:sz w:val="15"/>
                <w:szCs w:val="15"/>
              </w:rPr>
              <w:t>Copyright © IFRS Foundation</w:t>
            </w:r>
            <w:r w:rsidRPr="006C18E6">
              <w:rPr>
                <w:rFonts w:ascii="Arial" w:eastAsia="Times New Roman" w:hAnsi="Arial" w:cs="Arial"/>
                <w:color w:val="5F5F60"/>
                <w:sz w:val="15"/>
                <w:szCs w:val="15"/>
              </w:rPr>
              <w:br/>
              <w:t>ISSN 1474-2675</w:t>
            </w:r>
          </w:p>
          <w:p w:rsidR="00942D16" w:rsidRPr="006C18E6" w:rsidRDefault="00942D16" w:rsidP="00942D16">
            <w:pPr>
              <w:spacing w:after="0" w:line="240" w:lineRule="auto"/>
              <w:jc w:val="center"/>
              <w:rPr>
                <w:rFonts w:ascii="Arial" w:eastAsia="Times New Roman" w:hAnsi="Arial" w:cs="Arial"/>
                <w:color w:val="5F5F60"/>
                <w:sz w:val="15"/>
                <w:szCs w:val="15"/>
                <w:lang w:val="bg-BG"/>
              </w:rPr>
            </w:pPr>
            <w:r w:rsidRPr="006C18E6">
              <w:rPr>
                <w:rFonts w:ascii="Arial" w:eastAsia="Times New Roman" w:hAnsi="Arial" w:cs="Arial"/>
                <w:color w:val="5F5F60"/>
                <w:sz w:val="15"/>
                <w:szCs w:val="15"/>
                <w:lang w:val="bg-BG"/>
              </w:rPr>
              <w:t>Авторски права© Фондация МСФО</w:t>
            </w:r>
          </w:p>
          <w:p w:rsidR="003604F7" w:rsidRPr="003604F7" w:rsidRDefault="00942D16" w:rsidP="00942D16">
            <w:pPr>
              <w:spacing w:after="0" w:line="240" w:lineRule="auto"/>
              <w:jc w:val="center"/>
              <w:rPr>
                <w:rFonts w:ascii="Arial" w:eastAsia="Times New Roman" w:hAnsi="Arial" w:cs="Arial"/>
                <w:color w:val="5F5F60"/>
                <w:sz w:val="17"/>
                <w:szCs w:val="17"/>
                <w:lang w:eastAsia="en-GB"/>
              </w:rPr>
            </w:pPr>
            <w:r w:rsidRPr="006C18E6">
              <w:rPr>
                <w:rFonts w:ascii="Arial" w:eastAsia="Times New Roman" w:hAnsi="Arial" w:cs="Arial"/>
                <w:color w:val="5F5F60"/>
                <w:sz w:val="15"/>
                <w:szCs w:val="15"/>
                <w:lang w:val="bg-BG"/>
              </w:rPr>
              <w:t>ISSN 1474-2675</w:t>
            </w:r>
          </w:p>
        </w:tc>
      </w:tr>
    </w:tbl>
    <w:p w:rsidR="00F26F96" w:rsidRDefault="00F26F96"/>
    <w:sectPr w:rsidR="00F26F96" w:rsidSect="00F26F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6FE"/>
    <w:multiLevelType w:val="multilevel"/>
    <w:tmpl w:val="C7D8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353D4"/>
    <w:multiLevelType w:val="multilevel"/>
    <w:tmpl w:val="9A2C2478"/>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8A80B2E"/>
    <w:multiLevelType w:val="multilevel"/>
    <w:tmpl w:val="34B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51AC6"/>
    <w:multiLevelType w:val="multilevel"/>
    <w:tmpl w:val="E682C14E"/>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A916B72"/>
    <w:multiLevelType w:val="multilevel"/>
    <w:tmpl w:val="88A6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525F18"/>
    <w:multiLevelType w:val="multilevel"/>
    <w:tmpl w:val="DCC29AA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characterSpacingControl w:val="doNotCompress"/>
  <w:compat/>
  <w:rsids>
    <w:rsidRoot w:val="003604F7"/>
    <w:rsid w:val="00072367"/>
    <w:rsid w:val="000A09FA"/>
    <w:rsid w:val="000F3891"/>
    <w:rsid w:val="00154E7D"/>
    <w:rsid w:val="00164254"/>
    <w:rsid w:val="001923D5"/>
    <w:rsid w:val="001A6C03"/>
    <w:rsid w:val="003604F7"/>
    <w:rsid w:val="00541D6F"/>
    <w:rsid w:val="00570065"/>
    <w:rsid w:val="005F68E4"/>
    <w:rsid w:val="006C2E0D"/>
    <w:rsid w:val="006C5BDD"/>
    <w:rsid w:val="008917E8"/>
    <w:rsid w:val="00942D16"/>
    <w:rsid w:val="00AB68A4"/>
    <w:rsid w:val="00AD796C"/>
    <w:rsid w:val="00AE505C"/>
    <w:rsid w:val="00AF10B5"/>
    <w:rsid w:val="00B904EE"/>
    <w:rsid w:val="00C118A3"/>
    <w:rsid w:val="00CA356D"/>
    <w:rsid w:val="00E468B4"/>
    <w:rsid w:val="00E73E97"/>
    <w:rsid w:val="00E811BC"/>
    <w:rsid w:val="00E95769"/>
    <w:rsid w:val="00E97DEA"/>
    <w:rsid w:val="00F26F96"/>
    <w:rsid w:val="00F320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4F7"/>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04F7"/>
    <w:rPr>
      <w:i/>
      <w:iCs/>
    </w:rPr>
  </w:style>
  <w:style w:type="character" w:styleId="Hyperlink">
    <w:name w:val="Hyperlink"/>
    <w:basedOn w:val="DefaultParagraphFont"/>
    <w:uiPriority w:val="99"/>
    <w:semiHidden/>
    <w:unhideWhenUsed/>
    <w:rsid w:val="003604F7"/>
    <w:rPr>
      <w:color w:val="0000FF"/>
      <w:u w:val="single"/>
    </w:rPr>
  </w:style>
  <w:style w:type="character" w:styleId="Strong">
    <w:name w:val="Strong"/>
    <w:basedOn w:val="DefaultParagraphFont"/>
    <w:uiPriority w:val="22"/>
    <w:qFormat/>
    <w:rsid w:val="003604F7"/>
    <w:rPr>
      <w:b/>
      <w:bCs/>
    </w:rPr>
  </w:style>
  <w:style w:type="paragraph" w:styleId="BalloonText">
    <w:name w:val="Balloon Text"/>
    <w:basedOn w:val="Normal"/>
    <w:link w:val="BalloonTextChar"/>
    <w:uiPriority w:val="99"/>
    <w:semiHidden/>
    <w:unhideWhenUsed/>
    <w:rsid w:val="0036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736799">
      <w:bodyDiv w:val="1"/>
      <w:marLeft w:val="0"/>
      <w:marRight w:val="0"/>
      <w:marTop w:val="0"/>
      <w:marBottom w:val="0"/>
      <w:divBdr>
        <w:top w:val="none" w:sz="0" w:space="0" w:color="auto"/>
        <w:left w:val="none" w:sz="0" w:space="0" w:color="auto"/>
        <w:bottom w:val="none" w:sz="0" w:space="0" w:color="auto"/>
        <w:right w:val="none" w:sz="0" w:space="0" w:color="auto"/>
      </w:divBdr>
      <w:divsChild>
        <w:div w:id="234053101">
          <w:marLeft w:val="0"/>
          <w:marRight w:val="0"/>
          <w:marTop w:val="0"/>
          <w:marBottom w:val="0"/>
          <w:divBdr>
            <w:top w:val="none" w:sz="0" w:space="0" w:color="auto"/>
            <w:left w:val="none" w:sz="0" w:space="0" w:color="auto"/>
            <w:bottom w:val="none" w:sz="0" w:space="0" w:color="auto"/>
            <w:right w:val="none" w:sz="0" w:space="0" w:color="auto"/>
          </w:divBdr>
          <w:divsChild>
            <w:div w:id="1024206074">
              <w:marLeft w:val="0"/>
              <w:marRight w:val="0"/>
              <w:marTop w:val="0"/>
              <w:marBottom w:val="0"/>
              <w:divBdr>
                <w:top w:val="none" w:sz="0" w:space="0" w:color="auto"/>
                <w:left w:val="none" w:sz="0" w:space="0" w:color="auto"/>
                <w:bottom w:val="none" w:sz="0" w:space="0" w:color="auto"/>
                <w:right w:val="none" w:sz="0" w:space="0" w:color="auto"/>
              </w:divBdr>
              <w:divsChild>
                <w:div w:id="1732121320">
                  <w:marLeft w:val="0"/>
                  <w:marRight w:val="0"/>
                  <w:marTop w:val="0"/>
                  <w:marBottom w:val="0"/>
                  <w:divBdr>
                    <w:top w:val="none" w:sz="0" w:space="0" w:color="auto"/>
                    <w:left w:val="none" w:sz="0" w:space="0" w:color="auto"/>
                    <w:bottom w:val="none" w:sz="0" w:space="0" w:color="auto"/>
                    <w:right w:val="none" w:sz="0" w:space="0" w:color="auto"/>
                  </w:divBdr>
                  <w:divsChild>
                    <w:div w:id="1468088153">
                      <w:marLeft w:val="0"/>
                      <w:marRight w:val="0"/>
                      <w:marTop w:val="0"/>
                      <w:marBottom w:val="0"/>
                      <w:divBdr>
                        <w:top w:val="none" w:sz="0" w:space="0" w:color="auto"/>
                        <w:left w:val="none" w:sz="0" w:space="0" w:color="auto"/>
                        <w:bottom w:val="none" w:sz="0" w:space="0" w:color="auto"/>
                        <w:right w:val="none" w:sz="0" w:space="0" w:color="auto"/>
                      </w:divBdr>
                    </w:div>
                  </w:divsChild>
                </w:div>
                <w:div w:id="105541041">
                  <w:marLeft w:val="0"/>
                  <w:marRight w:val="0"/>
                  <w:marTop w:val="0"/>
                  <w:marBottom w:val="0"/>
                  <w:divBdr>
                    <w:top w:val="none" w:sz="0" w:space="0" w:color="auto"/>
                    <w:left w:val="none" w:sz="0" w:space="0" w:color="auto"/>
                    <w:bottom w:val="none" w:sz="0" w:space="0" w:color="auto"/>
                    <w:right w:val="none" w:sz="0" w:space="0" w:color="auto"/>
                  </w:divBdr>
                  <w:divsChild>
                    <w:div w:id="1278491999">
                      <w:marLeft w:val="0"/>
                      <w:marRight w:val="0"/>
                      <w:marTop w:val="0"/>
                      <w:marBottom w:val="0"/>
                      <w:divBdr>
                        <w:top w:val="none" w:sz="0" w:space="0" w:color="auto"/>
                        <w:left w:val="none" w:sz="0" w:space="0" w:color="auto"/>
                        <w:bottom w:val="none" w:sz="0" w:space="0" w:color="auto"/>
                        <w:right w:val="none" w:sz="0" w:space="0" w:color="auto"/>
                      </w:divBdr>
                    </w:div>
                    <w:div w:id="1939285395">
                      <w:marLeft w:val="0"/>
                      <w:marRight w:val="0"/>
                      <w:marTop w:val="0"/>
                      <w:marBottom w:val="0"/>
                      <w:divBdr>
                        <w:top w:val="none" w:sz="0" w:space="0" w:color="auto"/>
                        <w:left w:val="none" w:sz="0" w:space="0" w:color="auto"/>
                        <w:bottom w:val="none" w:sz="0" w:space="0" w:color="auto"/>
                        <w:right w:val="none" w:sz="0" w:space="0" w:color="auto"/>
                      </w:divBdr>
                    </w:div>
                    <w:div w:id="138811830">
                      <w:marLeft w:val="0"/>
                      <w:marRight w:val="0"/>
                      <w:marTop w:val="0"/>
                      <w:marBottom w:val="0"/>
                      <w:divBdr>
                        <w:top w:val="none" w:sz="0" w:space="0" w:color="auto"/>
                        <w:left w:val="none" w:sz="0" w:space="0" w:color="auto"/>
                        <w:bottom w:val="none" w:sz="0" w:space="0" w:color="auto"/>
                        <w:right w:val="none" w:sz="0" w:space="0" w:color="auto"/>
                      </w:divBdr>
                    </w:div>
                    <w:div w:id="1677685490">
                      <w:marLeft w:val="0"/>
                      <w:marRight w:val="0"/>
                      <w:marTop w:val="0"/>
                      <w:marBottom w:val="0"/>
                      <w:divBdr>
                        <w:top w:val="none" w:sz="0" w:space="0" w:color="auto"/>
                        <w:left w:val="none" w:sz="0" w:space="0" w:color="auto"/>
                        <w:bottom w:val="none" w:sz="0" w:space="0" w:color="auto"/>
                        <w:right w:val="none" w:sz="0" w:space="0" w:color="auto"/>
                      </w:divBdr>
                    </w:div>
                    <w:div w:id="1182551291">
                      <w:marLeft w:val="0"/>
                      <w:marRight w:val="0"/>
                      <w:marTop w:val="0"/>
                      <w:marBottom w:val="0"/>
                      <w:divBdr>
                        <w:top w:val="none" w:sz="0" w:space="0" w:color="auto"/>
                        <w:left w:val="none" w:sz="0" w:space="0" w:color="auto"/>
                        <w:bottom w:val="none" w:sz="0" w:space="0" w:color="auto"/>
                        <w:right w:val="none" w:sz="0" w:space="0" w:color="auto"/>
                      </w:divBdr>
                    </w:div>
                    <w:div w:id="1365909020">
                      <w:marLeft w:val="0"/>
                      <w:marRight w:val="0"/>
                      <w:marTop w:val="0"/>
                      <w:marBottom w:val="0"/>
                      <w:divBdr>
                        <w:top w:val="none" w:sz="0" w:space="0" w:color="auto"/>
                        <w:left w:val="none" w:sz="0" w:space="0" w:color="auto"/>
                        <w:bottom w:val="none" w:sz="0" w:space="0" w:color="auto"/>
                        <w:right w:val="none" w:sz="0" w:space="0" w:color="auto"/>
                      </w:divBdr>
                    </w:div>
                    <w:div w:id="915438951">
                      <w:marLeft w:val="0"/>
                      <w:marRight w:val="0"/>
                      <w:marTop w:val="0"/>
                      <w:marBottom w:val="0"/>
                      <w:divBdr>
                        <w:top w:val="none" w:sz="0" w:space="0" w:color="auto"/>
                        <w:left w:val="none" w:sz="0" w:space="0" w:color="auto"/>
                        <w:bottom w:val="none" w:sz="0" w:space="0" w:color="auto"/>
                        <w:right w:val="none" w:sz="0" w:space="0" w:color="auto"/>
                      </w:divBdr>
                    </w:div>
                    <w:div w:id="894394256">
                      <w:marLeft w:val="0"/>
                      <w:marRight w:val="0"/>
                      <w:marTop w:val="0"/>
                      <w:marBottom w:val="0"/>
                      <w:divBdr>
                        <w:top w:val="none" w:sz="0" w:space="0" w:color="auto"/>
                        <w:left w:val="none" w:sz="0" w:space="0" w:color="auto"/>
                        <w:bottom w:val="none" w:sz="0" w:space="0" w:color="auto"/>
                        <w:right w:val="none" w:sz="0" w:space="0" w:color="auto"/>
                      </w:divBdr>
                    </w:div>
                    <w:div w:id="1243031272">
                      <w:marLeft w:val="0"/>
                      <w:marRight w:val="0"/>
                      <w:marTop w:val="0"/>
                      <w:marBottom w:val="0"/>
                      <w:divBdr>
                        <w:top w:val="none" w:sz="0" w:space="0" w:color="auto"/>
                        <w:left w:val="none" w:sz="0" w:space="0" w:color="auto"/>
                        <w:bottom w:val="none" w:sz="0" w:space="0" w:color="auto"/>
                        <w:right w:val="none" w:sz="0" w:space="0" w:color="auto"/>
                      </w:divBdr>
                    </w:div>
                    <w:div w:id="576793330">
                      <w:marLeft w:val="0"/>
                      <w:marRight w:val="0"/>
                      <w:marTop w:val="0"/>
                      <w:marBottom w:val="0"/>
                      <w:divBdr>
                        <w:top w:val="none" w:sz="0" w:space="0" w:color="auto"/>
                        <w:left w:val="none" w:sz="0" w:space="0" w:color="auto"/>
                        <w:bottom w:val="none" w:sz="0" w:space="0" w:color="auto"/>
                        <w:right w:val="none" w:sz="0" w:space="0" w:color="auto"/>
                      </w:divBdr>
                    </w:div>
                    <w:div w:id="5013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rs.org/projects/work-pla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2130</Words>
  <Characters>12271</Characters>
  <Application>Microsoft Office Word</Application>
  <DocSecurity>0</DocSecurity>
  <Lines>240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tvs</dc:creator>
  <cp:keywords/>
  <dc:description/>
  <cp:lastModifiedBy>tvs</cp:lastModifiedBy>
  <cp:revision>3</cp:revision>
  <dcterms:created xsi:type="dcterms:W3CDTF">2017-06-28T04:55:00Z</dcterms:created>
  <dcterms:modified xsi:type="dcterms:W3CDTF">2017-06-28T05:04:00Z</dcterms:modified>
</cp:coreProperties>
</file>