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41" w:rsidRPr="00DD547E" w:rsidRDefault="00DD547E" w:rsidP="00BD4B41">
      <w:pPr>
        <w:pStyle w:val="Heading1"/>
        <w:shd w:val="clear" w:color="auto" w:fill="A41F35"/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DD547E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Информационен бюлетин на Съвета по международни счетоводни стандарти </w:t>
      </w:r>
      <w:r w:rsidRPr="00DD547E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(IASB)</w:t>
      </w:r>
      <w:r w:rsidRPr="00DD547E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 xml:space="preserve"> – декември 2017 г.</w:t>
      </w:r>
    </w:p>
    <w:p w:rsidR="00BD4B41" w:rsidRPr="00DD547E" w:rsidRDefault="00BD4B41" w:rsidP="00BD4B41">
      <w:pPr>
        <w:widowControl/>
        <w:shd w:val="clear" w:color="auto" w:fill="FFFFFF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proofErr w:type="spellStart"/>
      <w:proofErr w:type="gramStart"/>
      <w:r w:rsidRPr="00DD547E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>pdate</w:t>
      </w:r>
      <w:proofErr w:type="spellEnd"/>
      <w:proofErr w:type="gramEnd"/>
      <w:r w:rsidRPr="00DD547E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  <w:t xml:space="preserve"> December 2017</w:t>
      </w:r>
    </w:p>
    <w:p w:rsidR="00BD4B41" w:rsidRPr="00DD547E" w:rsidRDefault="00DD547E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  <w:r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>МСФО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стандарти (IFRS</w:t>
      </w:r>
      <w:r w:rsidRPr="00DD547E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> Standards), изменения и разяснения (IFRIC</w:t>
      </w:r>
      <w:r w:rsidRPr="00DD547E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DD547E">
        <w:rPr>
          <w:rFonts w:asciiTheme="minorHAnsi" w:eastAsia="Times New Roman" w:hAnsiTheme="minorHAnsi" w:cs="Helvetica"/>
          <w:i/>
          <w:color w:val="575757"/>
          <w:szCs w:val="24"/>
          <w:lang w:val="bg-BG"/>
        </w:rPr>
        <w:t>Ръководството по регламентираната процедура</w:t>
      </w:r>
      <w:r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Фондация МСФО (IFRS </w:t>
      </w:r>
      <w:r w:rsidRPr="00DD547E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Foundation) и Комитета по разясненията на МСФО (IFRS Interpretation Committee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)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 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br/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br/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13 декември 2017 г., сряда, и 14 декември 2017 г., четвъртък, </w:t>
      </w:r>
      <w:r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проведе публични заседания в офисите на Фондация МСФО в Лондон, Великобритания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BD4B41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br/>
      </w:r>
      <w:r w:rsidR="00DD547E" w:rsidRPr="00DD547E">
        <w:rPr>
          <w:rFonts w:asciiTheme="minorHAnsi" w:eastAsia="Times New Roman" w:hAnsiTheme="minorHAnsi" w:cs="Helvetica"/>
          <w:color w:val="575757"/>
          <w:szCs w:val="24"/>
          <w:lang w:val="bg-BG"/>
        </w:rPr>
        <w:t>Темите, по реда на обсъждането им, включваха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5C6514" w:rsidP="00BD4B41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5" w:anchor="1" w:history="1"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Основни финансови отчети</w:t>
        </w:r>
      </w:hyperlink>
    </w:p>
    <w:p w:rsidR="00BD4B41" w:rsidRPr="00DD547E" w:rsidRDefault="005C6514" w:rsidP="00BD4B41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6" w:anchor="2" w:history="1"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Инициатива </w:t>
        </w:r>
        <w:r w:rsidR="00B4627C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за</w:t>
        </w:r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 оповестяван</w:t>
        </w:r>
        <w:r w:rsidR="00B4627C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е</w:t>
        </w:r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 </w:t>
        </w:r>
        <w:r w:rsidR="00BD4B41" w:rsidRPr="00DD547E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>—</w:t>
        </w:r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 принципи на оповестяването</w:t>
        </w:r>
      </w:hyperlink>
    </w:p>
    <w:p w:rsidR="00BD4B41" w:rsidRPr="00DD547E" w:rsidRDefault="005C6514" w:rsidP="00BD4B41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7" w:anchor="3" w:history="1"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Репутация и обезценка</w:t>
        </w:r>
      </w:hyperlink>
    </w:p>
    <w:p w:rsidR="00BD4B41" w:rsidRPr="00DD547E" w:rsidRDefault="005C6514" w:rsidP="00BD4B41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8" w:anchor="4" w:history="1"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Дейности с регулирани цени</w:t>
        </w:r>
      </w:hyperlink>
    </w:p>
    <w:p w:rsidR="00BD4B41" w:rsidRPr="00DD547E" w:rsidRDefault="005C6514" w:rsidP="00BD4B41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9" w:anchor="5" w:history="1"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Динамично управление на риска</w:t>
        </w:r>
      </w:hyperlink>
    </w:p>
    <w:p w:rsidR="00BD4B41" w:rsidRPr="00DD547E" w:rsidRDefault="005C6514" w:rsidP="00BD4B41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10" w:anchor="6" w:history="1"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Въпроси, свързани с прилагането на</w:t>
        </w:r>
        <w:r w:rsidR="00BD4B41" w:rsidRPr="00DD547E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</w:t>
        </w:r>
        <w:r w:rsidR="006E532D" w:rsidRPr="00DD547E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>МСФО</w:t>
        </w:r>
        <w:r w:rsidR="00BD4B41" w:rsidRPr="00DD547E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</w:t>
        </w:r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стандартите</w:t>
        </w:r>
      </w:hyperlink>
    </w:p>
    <w:p w:rsidR="00BD4B41" w:rsidRPr="00DD547E" w:rsidRDefault="005C6514" w:rsidP="00BD4B41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hyperlink r:id="rId11" w:anchor="7" w:history="1">
        <w:r w:rsidR="00EB6A11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Бизнес комбинации под общ контрол</w:t>
        </w:r>
      </w:hyperlink>
    </w:p>
    <w:p w:rsidR="00BD4B41" w:rsidRPr="00DD547E" w:rsidRDefault="00F06DF3" w:rsidP="00BD4B41">
      <w:pPr>
        <w:widowControl/>
        <w:shd w:val="clear" w:color="auto" w:fill="F6F6F6"/>
        <w:suppressAutoHyphens w:val="0"/>
        <w:spacing w:before="225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Допълнителна информация</w:t>
      </w:r>
    </w:p>
    <w:p w:rsidR="00BD4B41" w:rsidRPr="00DD547E" w:rsidRDefault="00F06DF3" w:rsidP="00BD4B41">
      <w:pPr>
        <w:widowControl/>
        <w:shd w:val="clear" w:color="auto" w:fill="F6F6F6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F06DF3">
        <w:rPr>
          <w:rFonts w:asciiTheme="minorHAnsi" w:eastAsia="Times New Roman" w:hAnsiTheme="minorHAnsi" w:cs="Helvetica"/>
          <w:color w:val="575757"/>
          <w:szCs w:val="24"/>
          <w:lang w:val="bg-BG"/>
        </w:rPr>
        <w:t>Предстоящи заседания на Съвета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BD4B41" w:rsidP="00BD4B41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DD547E">
        <w:rPr>
          <w:rFonts w:asciiTheme="minorHAnsi" w:eastAsia="Times New Roman" w:hAnsiTheme="minorHAnsi" w:cs="Helvetica"/>
          <w:color w:val="333333"/>
          <w:szCs w:val="24"/>
        </w:rPr>
        <w:t xml:space="preserve">22–26 </w:t>
      </w:r>
      <w:r w:rsidR="00F06DF3">
        <w:rPr>
          <w:rFonts w:asciiTheme="minorHAnsi" w:eastAsia="Times New Roman" w:hAnsiTheme="minorHAnsi" w:cs="Helvetica"/>
          <w:color w:val="333333"/>
          <w:szCs w:val="24"/>
          <w:lang w:val="bg-BG"/>
        </w:rPr>
        <w:t>януари</w:t>
      </w:r>
      <w:r w:rsidRPr="00DD547E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F06DF3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BD4B41" w:rsidRPr="00DD547E" w:rsidRDefault="00BD4B41" w:rsidP="00BD4B41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DD547E">
        <w:rPr>
          <w:rFonts w:asciiTheme="minorHAnsi" w:eastAsia="Times New Roman" w:hAnsiTheme="minorHAnsi" w:cs="Helvetica"/>
          <w:color w:val="333333"/>
          <w:szCs w:val="24"/>
        </w:rPr>
        <w:t xml:space="preserve">19–23 </w:t>
      </w:r>
      <w:r w:rsidR="00F06DF3">
        <w:rPr>
          <w:rFonts w:asciiTheme="minorHAnsi" w:eastAsia="Times New Roman" w:hAnsiTheme="minorHAnsi" w:cs="Helvetica"/>
          <w:color w:val="333333"/>
          <w:szCs w:val="24"/>
          <w:lang w:val="bg-BG"/>
        </w:rPr>
        <w:t>февруари</w:t>
      </w:r>
      <w:r w:rsidRPr="00DD547E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F06DF3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BD4B41" w:rsidRPr="00DD547E" w:rsidRDefault="00BD4B41" w:rsidP="00BD4B41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 w:rsidRPr="00DD547E">
        <w:rPr>
          <w:rFonts w:asciiTheme="minorHAnsi" w:eastAsia="Times New Roman" w:hAnsiTheme="minorHAnsi" w:cs="Helvetica"/>
          <w:color w:val="333333"/>
          <w:szCs w:val="24"/>
        </w:rPr>
        <w:t xml:space="preserve">19–23 </w:t>
      </w:r>
      <w:r w:rsidR="00F06DF3">
        <w:rPr>
          <w:rFonts w:asciiTheme="minorHAnsi" w:eastAsia="Times New Roman" w:hAnsiTheme="minorHAnsi" w:cs="Helvetica"/>
          <w:color w:val="333333"/>
          <w:szCs w:val="24"/>
          <w:lang w:val="bg-BG"/>
        </w:rPr>
        <w:t>март</w:t>
      </w:r>
      <w:r w:rsidRPr="00DD547E">
        <w:rPr>
          <w:rFonts w:asciiTheme="minorHAnsi" w:eastAsia="Times New Roman" w:hAnsiTheme="minorHAnsi" w:cs="Helvetica"/>
          <w:color w:val="333333"/>
          <w:szCs w:val="24"/>
        </w:rPr>
        <w:t xml:space="preserve"> 2018</w:t>
      </w:r>
      <w:r w:rsidR="00F06DF3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BD4B41" w:rsidRPr="00DD547E" w:rsidRDefault="00B4627C" w:rsidP="00BD4B41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0" w:name="1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6E532D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21)</w:t>
      </w:r>
      <w:bookmarkEnd w:id="0"/>
    </w:p>
    <w:p w:rsidR="00BD4B41" w:rsidRPr="00DD547E" w:rsidRDefault="000C78C6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13 декември 2017 г. Съветът проведе заседание, за да обсъди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40570F" w:rsidP="00BD4B41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Целта на въвеждането във финансовия отчет на оценка за резултатите от дейността</w:t>
      </w:r>
      <w:r w:rsidR="00B934BE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="00B934BE">
        <w:rPr>
          <w:rFonts w:asciiTheme="minorHAnsi" w:eastAsia="Times New Roman" w:hAnsiTheme="minorHAnsi" w:cs="Helvetica"/>
          <w:color w:val="333333"/>
          <w:szCs w:val="24"/>
        </w:rPr>
        <w:t>(</w:t>
      </w:r>
      <w:r w:rsidR="00B934BE">
        <w:rPr>
          <w:rFonts w:asciiTheme="minorHAnsi" w:eastAsia="Times New Roman" w:hAnsiTheme="minorHAnsi" w:cs="Helvetica"/>
          <w:color w:val="333333"/>
          <w:szCs w:val="24"/>
          <w:lang w:val="bg-BG"/>
        </w:rPr>
        <w:t>представянето</w:t>
      </w:r>
      <w:r w:rsidR="00B934BE">
        <w:rPr>
          <w:rFonts w:asciiTheme="minorHAnsi" w:eastAsia="Times New Roman" w:hAnsiTheme="minorHAnsi" w:cs="Helvetica"/>
          <w:color w:val="333333"/>
          <w:szCs w:val="24"/>
        </w:rPr>
        <w:t>)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ръководството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 възможното място, където тази оценка да бъде представена и оповестена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BD4B41" w:rsidRPr="00DD547E" w:rsidRDefault="00B934BE" w:rsidP="00BD4B41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Някои подобрения в отчета за паричните потоци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B934BE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Цел на оценката за резултатите от дейността на ръководството и подходящи места за нея 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21A)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реши в порядък на работна хипотеза</w:t>
      </w:r>
      <w:r w:rsidR="00B934BE">
        <w:rPr>
          <w:rFonts w:asciiTheme="minorHAnsi" w:eastAsia="Times New Roman" w:hAnsiTheme="minorHAnsi" w:cs="Helvetica"/>
          <w:color w:val="575757"/>
          <w:szCs w:val="24"/>
          <w:lang w:val="bg-BG"/>
        </w:rPr>
        <w:t>, че от предприятията следва да се изисква да идентифицират оценка за резултатите от дейността на ръководството 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B934BE" w:rsidP="00BD4B4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представят тази оценка като междинен сбор в отчета или отчетите за финансовите резултати от дейността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ако това отговаря на предложената от Съвета структура на отчета или отчетите и удовлетворява изискванията на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МСС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1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 xml:space="preserve">Представяне на финансови отчети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по отношение на междинните сборове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B934BE" w:rsidP="00BD4B41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 противен случай, да предоставят оценката за резултатите от дейността на ръководството като отделно равнение на тази оценка с оценка, която е дефинирана в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стандартите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Тринадесет от членовете на Съвета изразиха съгласие с това решение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Един от членовете на Съвета отсъстваше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0D07BC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Класифициране на лихви и дивиденти в отчета за паричните потоци 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21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В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BD4B41" w:rsidRPr="00DD547E" w:rsidRDefault="00F13A8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 отношение на нефинансови предприятия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>реши в порядък на работна хипотеза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F13A8D" w:rsidP="00BD4B41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отстрани от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МСС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7 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Отчет за паричните потоци</w:t>
      </w:r>
      <w:r w:rsidR="00BD4B41" w:rsidRPr="00DD547E">
        <w:rPr>
          <w:rFonts w:asciiTheme="minorHAnsi" w:eastAsia="Times New Roman" w:hAnsiTheme="minorHAnsi" w:cs="Helvetica"/>
          <w:i/>
          <w:iCs/>
          <w:color w:val="333333"/>
          <w:szCs w:val="24"/>
        </w:rPr>
        <w:t> 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възможностите за избор за класифициране на платените и получените лихви и дивиденти и да предпише едно-единствено класифициране по отношение на всяка от тези позиции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Тринадесет от членовете на Съвета изразиха съгласие с това решение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Един от членовете на Съвета отсъстваше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F13A8D" w:rsidP="00BD4B41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поясни, че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BD4B41" w:rsidRPr="00DD547E" w:rsidRDefault="00636914" w:rsidP="00BD4B41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паричните потоци, произтичащи от лихви, понесени по финансиращи дейности следва да бъдат класифицирани като финансови парични потоци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Тринадесет от членовете на Съвета изразиха съгласие с това решение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Един от членовете на Съвета отсъстваше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636914" w:rsidP="00BD4B41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 w:rsidRPr="00636914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паричните потоци, произтичащи от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платени </w:t>
      </w:r>
      <w:r w:rsidRPr="00636914">
        <w:rPr>
          <w:rFonts w:asciiTheme="minorHAnsi" w:eastAsia="Times New Roman" w:hAnsiTheme="minorHAnsi" w:cs="Helvetica"/>
          <w:color w:val="333333"/>
          <w:szCs w:val="24"/>
          <w:lang w:val="bg-BG"/>
        </w:rPr>
        <w:t>лихви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, които са капитализирани като част от цената на даден актив, </w:t>
      </w:r>
      <w:r w:rsidRPr="00636914">
        <w:rPr>
          <w:rFonts w:asciiTheme="minorHAnsi" w:eastAsia="Times New Roman" w:hAnsiTheme="minorHAnsi" w:cs="Helvetica"/>
          <w:color w:val="333333"/>
          <w:szCs w:val="24"/>
          <w:lang w:val="bg-BG"/>
        </w:rPr>
        <w:t>следва да бъдат класифицирани като финансови парични потоци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Тринадесет от членовете на Съвета изразиха съгласие с това решение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Един от членовете на Съвета отсъстваше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636914" w:rsidP="00BD4B41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 w:rsidRPr="00636914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паричните потоци, произтичащи от платени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дивиденти</w:t>
      </w:r>
      <w:r w:rsidRPr="00636914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следва да бъдат класифицирани като финансови парични потоци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 xml:space="preserve">Тринадесет от членовете на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lastRenderedPageBreak/>
        <w:t>Съвета изразиха съгласие с това решение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Един от членовете на Съвета отсъстваше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636914" w:rsidP="00BD4B41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измени дефиницията на „инвестиционни дейности“ в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МСС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7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, за да поясни, че получените лихви и дивиденти следва да бъдат класифицирани като инвестиционни парични потоци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1B644D">
        <w:rPr>
          <w:rFonts w:asciiTheme="minorHAnsi" w:eastAsia="Times New Roman" w:hAnsiTheme="minorHAnsi" w:cs="Helvetica"/>
          <w:color w:val="333333"/>
          <w:szCs w:val="24"/>
          <w:lang w:val="bg-BG"/>
        </w:rPr>
        <w:t>Дванадесет</w:t>
      </w:r>
      <w:r w:rsidR="001B644D" w:rsidRPr="001B644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членовете на Съвета изразиха съгласие, а </w:t>
      </w:r>
      <w:r w:rsidR="001B644D">
        <w:rPr>
          <w:rFonts w:asciiTheme="minorHAnsi" w:eastAsia="Times New Roman" w:hAnsiTheme="minorHAnsi" w:cs="Helvetica"/>
          <w:color w:val="333333"/>
          <w:szCs w:val="24"/>
          <w:lang w:val="bg-BG"/>
        </w:rPr>
        <w:t>един</w:t>
      </w:r>
      <w:r w:rsidR="001B644D" w:rsidRPr="001B644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– несъгласие с това решение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Един от членовете на Съвета отсъстваше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A44FAC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Първоначални съображения във връзка с други целеви подобрения в отчета за паричните потоци 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21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Г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реши в порядък на работна хипотеза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A44FAC" w:rsidP="00BD4B41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изисква последователен междинен сбор като отправна точка за непрякото равнение на паричните потоци от оперативна дейност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 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Този междинен сбор следва да бъде „печалба преди инвестиране, финансиране и данъци върху дохода“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Тринадесет от членовете на Съвета изразиха съгласие с това решение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Един от членовете на Съвета отсъстваше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A44FAC" w:rsidP="00BD4B41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не хармонизира раздела за оперативна дейност от отчета за паричните потоци със съответстващ му раздел в отчета или отчетите за финансовите резултати от дейността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Тринадесет от членовете на Съвета изразиха съгласие с това решение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Един от членовете на Съвета отсъстваше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A44FAC" w:rsidP="00BD4B41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не прави допълнителни подобрения в отчета за паричните потоци, освен тези, посочени в подточки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)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б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)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по-горе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1B644D">
        <w:rPr>
          <w:rFonts w:asciiTheme="minorHAnsi" w:eastAsia="Times New Roman" w:hAnsiTheme="minorHAnsi" w:cs="Helvetica"/>
          <w:color w:val="333333"/>
          <w:szCs w:val="24"/>
          <w:lang w:val="bg-BG"/>
        </w:rPr>
        <w:t>Десет</w:t>
      </w:r>
      <w:r w:rsidR="001B644D" w:rsidRPr="001B644D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от членовете на Съвета изразиха съгласие, а трима – несъгласие с това решение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Един от членовете на Съвета отсъстваше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FC7A99">
        <w:rPr>
          <w:rFonts w:asciiTheme="minorHAnsi" w:eastAsia="Times New Roman" w:hAnsiTheme="minorHAnsi" w:cs="Helvetica"/>
          <w:color w:val="575757"/>
          <w:szCs w:val="24"/>
          <w:lang w:val="bg-BG"/>
        </w:rPr>
        <w:t>ще продължи с обсъждане на целевите подобрения в отчета или отчетите за финансовите резултати от дейността на бъдещо свое заседание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FC7A99">
        <w:rPr>
          <w:rFonts w:asciiTheme="minorHAnsi" w:eastAsia="Times New Roman" w:hAnsiTheme="minorHAnsi" w:cs="Helvetica"/>
          <w:color w:val="575757"/>
          <w:szCs w:val="24"/>
          <w:lang w:val="bg-BG"/>
        </w:rPr>
        <w:t>Тези обсъждания ще включват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FC7A99" w:rsidP="00BD4B41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обстоятелствата, при които ще се изисква оценка за резултатите то дейността </w:t>
      </w:r>
      <w:r>
        <w:rPr>
          <w:rFonts w:asciiTheme="minorHAnsi" w:eastAsia="Times New Roman" w:hAnsiTheme="minorHAnsi" w:cs="Helvetica"/>
          <w:color w:val="333333"/>
          <w:szCs w:val="24"/>
        </w:rPr>
        <w:t>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представянето</w:t>
      </w:r>
      <w:r>
        <w:rPr>
          <w:rFonts w:asciiTheme="minorHAnsi" w:eastAsia="Times New Roman" w:hAnsiTheme="minorHAnsi" w:cs="Helvetica"/>
          <w:color w:val="333333"/>
          <w:szCs w:val="24"/>
        </w:rPr>
        <w:t>)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ръководството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BD4B41" w:rsidRPr="00DD547E" w:rsidRDefault="00FC7A99" w:rsidP="00BD4B41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дали равнението на оценката за резултатите от дейността на ръководството с оценката, дефинирана в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МСФО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,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следва да бъде представено след отчета за финансовите резултати от дейността или оповестено в пояснителните приложения.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26CCA">
        <w:rPr>
          <w:rFonts w:asciiTheme="minorHAnsi" w:eastAsia="Times New Roman" w:hAnsiTheme="minorHAnsi" w:cs="Helvetica"/>
          <w:color w:val="575757"/>
          <w:szCs w:val="24"/>
          <w:lang w:val="bg-BG"/>
        </w:rPr>
        <w:t>ще разгледа класифицирането в отчета за паричните потоци на дивидентите, получени от инвестиции в асоциирани и съвместни предприятия, когато обсъжда дали печалбата или загубата от неразделно свързани асоциирани и съвместни предприятия следва да бъде част от приходите или разходите от инвестиции в отчета или отчетите за финансовите резултати от дейността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BD4B41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lastRenderedPageBreak/>
        <w:t> </w:t>
      </w:r>
    </w:p>
    <w:p w:rsidR="00BD4B41" w:rsidRPr="00DD547E" w:rsidRDefault="00B4627C" w:rsidP="00BD4B41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Инициатива за оповестяване 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—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принципи на оповестяването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6E532D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11)</w:t>
      </w:r>
      <w:bookmarkEnd w:id="1"/>
    </w:p>
    <w:p w:rsidR="00BD4B41" w:rsidRPr="00DD547E" w:rsidRDefault="000C78C6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13 декември 2017 г. Съветът проведе заседание, за да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бъде запознат с предварително обобщение на писмата с коментари, получени във връзка с Документа за обсъждане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Инициатива за оповестяване</w:t>
      </w:r>
      <w:r w:rsidR="00BD4B41" w:rsidRPr="00DD547E">
        <w:rPr>
          <w:rFonts w:asciiTheme="minorHAnsi" w:eastAsia="Times New Roman" w:hAnsiTheme="minorHAnsi" w:cs="Helvetica"/>
          <w:i/>
          <w:iCs/>
          <w:color w:val="575757"/>
          <w:szCs w:val="24"/>
        </w:rPr>
        <w:t>—</w:t>
      </w: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принципи на оповестяването</w:t>
      </w:r>
      <w:r w:rsidR="00BD4B41" w:rsidRPr="00DD547E">
        <w:rPr>
          <w:rFonts w:asciiTheme="minorHAnsi" w:eastAsia="Times New Roman" w:hAnsiTheme="minorHAnsi" w:cs="Helvetica"/>
          <w:i/>
          <w:iCs/>
          <w:color w:val="575757"/>
          <w:szCs w:val="24"/>
        </w:rPr>
        <w:t>.</w:t>
      </w:r>
    </w:p>
    <w:p w:rsidR="00BD4B41" w:rsidRPr="00DD547E" w:rsidRDefault="00486FD0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486FD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BD4B41" w:rsidRPr="00DD547E" w:rsidRDefault="0011241E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През първото тримесечие на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2018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 Съветът ще бъде запознат с подробно обобщение на цялата обратна информация, получена във връзка с Документа за обсъждане и ще вземе решения относно следващите етапи по проекта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BD4B41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BD4B41" w:rsidRPr="00DD547E" w:rsidRDefault="00B4627C" w:rsidP="00BD4B41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Репутация и обезценка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6E532D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18)</w:t>
      </w:r>
      <w:bookmarkEnd w:id="2"/>
    </w:p>
    <w:p w:rsidR="00BD4B41" w:rsidRPr="00DD547E" w:rsidRDefault="000C78C6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>На 1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4</w:t>
      </w: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декември 2017 г. Съветът проведе заседание, за да обсъди</w:t>
      </w:r>
      <w:r w:rsidRPr="000C78C6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60658C">
        <w:rPr>
          <w:rFonts w:asciiTheme="minorHAnsi" w:eastAsia="Times New Roman" w:hAnsiTheme="minorHAnsi" w:cs="Helvetica"/>
          <w:color w:val="575757"/>
          <w:szCs w:val="24"/>
          <w:lang w:val="bg-BG"/>
        </w:rPr>
        <w:t>дали съществуват начини за подобряване на прилагането на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36 </w:t>
      </w:r>
      <w:r w:rsidR="0060658C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Обезценка на активи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gramStart"/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реши в порядък на работна хипотеза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60658C">
        <w:rPr>
          <w:rFonts w:asciiTheme="minorHAnsi" w:eastAsia="Times New Roman" w:hAnsiTheme="minorHAnsi" w:cs="Helvetica"/>
          <w:color w:val="575757"/>
          <w:szCs w:val="24"/>
          <w:lang w:val="bg-BG"/>
        </w:rPr>
        <w:t>да разгледа подобренията в прилагането на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 36</w:t>
      </w:r>
      <w:r w:rsidR="0060658C">
        <w:rPr>
          <w:rFonts w:asciiTheme="minorHAnsi" w:eastAsia="Times New Roman" w:hAnsiTheme="minorHAnsi" w:cs="Helvetica"/>
          <w:color w:val="575757"/>
          <w:szCs w:val="24"/>
          <w:lang w:val="bg-BG"/>
        </w:rPr>
        <w:t>, като използва</w:t>
      </w:r>
      <w:r w:rsidR="003164A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непризнатия оперативен резерв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60658C">
        <w:rPr>
          <w:rFonts w:asciiTheme="minorHAnsi" w:eastAsia="Times New Roman" w:hAnsiTheme="minorHAnsi" w:cs="Helvetica"/>
          <w:color w:val="575757"/>
          <w:szCs w:val="24"/>
          <w:lang w:val="bg-BG"/>
        </w:rPr>
        <w:t>превишението на възстановимата стойност над балансовата стойност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) </w:t>
      </w:r>
      <w:r w:rsidR="0060658C">
        <w:rPr>
          <w:rFonts w:asciiTheme="minorHAnsi" w:eastAsia="Times New Roman" w:hAnsiTheme="minorHAnsi" w:cs="Helvetica"/>
          <w:color w:val="575757"/>
          <w:szCs w:val="24"/>
          <w:lang w:val="bg-BG"/>
        </w:rPr>
        <w:t>на единицата, генерираща парични потоци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60658C">
        <w:rPr>
          <w:rFonts w:asciiTheme="minorHAnsi" w:eastAsia="Times New Roman" w:hAnsiTheme="minorHAnsi" w:cs="Helvetica"/>
          <w:color w:val="575757"/>
          <w:szCs w:val="24"/>
          <w:lang w:val="bg-BG"/>
        </w:rPr>
        <w:t>или групата единици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) </w:t>
      </w:r>
      <w:r w:rsidR="0060658C">
        <w:rPr>
          <w:rFonts w:asciiTheme="minorHAnsi" w:eastAsia="Times New Roman" w:hAnsiTheme="minorHAnsi" w:cs="Helvetica"/>
          <w:color w:val="575757"/>
          <w:szCs w:val="24"/>
          <w:lang w:val="bg-BG"/>
        </w:rPr>
        <w:t>като допълнителна входяща информация при тестването за обезценка на репутацията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1B644D" w:rsidRPr="001B644D">
        <w:rPr>
          <w:rFonts w:asciiTheme="minorHAnsi" w:eastAsia="Times New Roman" w:hAnsiTheme="minorHAnsi" w:cs="Helvetica"/>
          <w:color w:val="575757"/>
          <w:szCs w:val="24"/>
          <w:lang w:val="bg-BG"/>
        </w:rPr>
        <w:t>Единадесет от членовете на Съвета изразиха съгласие, а трима – несъгласие с това решение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реши в порядък на работна хипотеза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60658C">
        <w:rPr>
          <w:rFonts w:asciiTheme="minorHAnsi" w:eastAsia="Times New Roman" w:hAnsiTheme="minorHAnsi" w:cs="Helvetica"/>
          <w:color w:val="575757"/>
          <w:szCs w:val="24"/>
          <w:lang w:val="bg-BG"/>
        </w:rPr>
        <w:t>да обсъди въвеждането на изисквания предприятието да оповестява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F9314B" w:rsidP="00BD4B41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ежегодно</w:t>
      </w:r>
      <w:proofErr w:type="gramEnd"/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информация относно</w:t>
      </w:r>
      <w:r w:rsidR="003164A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оперативния резерв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</w:t>
      </w:r>
      <w:r w:rsidRPr="00F9314B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единицата, генерираща парични потоци</w:t>
      </w:r>
      <w:r w:rsidRPr="00F9314B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 w:rsidRPr="00F9314B">
        <w:rPr>
          <w:rFonts w:asciiTheme="minorHAnsi" w:eastAsia="Times New Roman" w:hAnsiTheme="minorHAnsi" w:cs="Helvetica"/>
          <w:color w:val="333333"/>
          <w:szCs w:val="24"/>
          <w:lang w:val="bg-BG"/>
        </w:rPr>
        <w:t>или групата единици</w:t>
      </w:r>
      <w:r w:rsidRPr="00F9314B">
        <w:rPr>
          <w:rFonts w:asciiTheme="minorHAnsi" w:eastAsia="Times New Roman" w:hAnsiTheme="minorHAnsi" w:cs="Helvetica"/>
          <w:color w:val="333333"/>
          <w:szCs w:val="24"/>
        </w:rPr>
        <w:t>)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, към която е разпределена репутацията за тестване за обезценка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BD4B41" w:rsidRPr="00DD547E" w:rsidRDefault="00F9314B" w:rsidP="00BD4B41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разбивка на репутацията по минали бизнес комбинации, обяснявайки защо балансовата стойност на репутацията може да бъде възстановена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BD4B41" w:rsidRPr="00DD547E" w:rsidRDefault="00F9314B" w:rsidP="00BD4B41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причините за плащане на премия, надвишаваща стойността на нетните разграничими активи, придобити при бизнес комбинацията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ключови допускания или цели,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 xml:space="preserve">подкрепящи насрещната престация </w:t>
      </w:r>
      <w:r>
        <w:rPr>
          <w:rFonts w:asciiTheme="minorHAnsi" w:eastAsia="Times New Roman" w:hAnsiTheme="minorHAnsi" w:cs="Helvetica"/>
          <w:color w:val="333333"/>
          <w:szCs w:val="24"/>
        </w:rPr>
        <w:t>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възнаграждението</w:t>
      </w:r>
      <w:r>
        <w:rPr>
          <w:rFonts w:asciiTheme="minorHAnsi" w:eastAsia="Times New Roman" w:hAnsiTheme="minorHAnsi" w:cs="Helvetica"/>
          <w:color w:val="333333"/>
          <w:szCs w:val="24"/>
        </w:rPr>
        <w:t>)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при покупката и сравнение на действителните резултати с тези допускания или цели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1B644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</w:t>
      </w:r>
      <w:r w:rsidRPr="001B644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 членовете на Съвета изразиха съгласие, 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двама</w:t>
      </w:r>
      <w:r w:rsidRPr="001B644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– несъгласие с това решение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реши в порядък на работна хипотеза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B5C96">
        <w:rPr>
          <w:rFonts w:asciiTheme="minorHAnsi" w:eastAsia="Times New Roman" w:hAnsiTheme="minorHAnsi" w:cs="Helvetica"/>
          <w:color w:val="575757"/>
          <w:szCs w:val="24"/>
          <w:lang w:val="bg-BG"/>
        </w:rPr>
        <w:t>да не следва посочените по-долу подходи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D15DFD">
        <w:rPr>
          <w:rFonts w:asciiTheme="minorHAnsi" w:eastAsia="Times New Roman" w:hAnsiTheme="minorHAnsi" w:cs="Helvetica"/>
          <w:color w:val="575757"/>
          <w:szCs w:val="24"/>
          <w:lang w:val="bg-BG"/>
        </w:rPr>
        <w:t>разгледани от него на минали заседания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D15DFD" w:rsidP="00BD4B41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предоставяне на облекчение от задължителното ежегодно количествено тестване за обезценка на репутацията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BD4B41" w:rsidRPr="00DD547E" w:rsidRDefault="00D15DFD" w:rsidP="00BD4B41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позволяване репутацията да бъде тествана за обезценка на ниво предприятие или на ниво подлежащи на отчитане сегменти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BD4B41" w:rsidRPr="00DD547E" w:rsidRDefault="00D15DFD" w:rsidP="00BD4B41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изискване за оповестяване на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периода на откупуване на инвестицията в бизнес комбинацията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BD4B41" w:rsidRPr="00DD547E" w:rsidRDefault="002A6D87" w:rsidP="00BD4B41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промяна на съществуващото изискване да се използва по-високата от стойността в употреба и справедливата стойност, намалена с разходите за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продажба/изваждане от употреба</w:t>
      </w:r>
      <w:r w:rsidR="00C26B25">
        <w:rPr>
          <w:rFonts w:asciiTheme="minorHAnsi" w:eastAsia="Times New Roman" w:hAnsiTheme="minorHAnsi" w:cs="Helvetica"/>
          <w:color w:val="333333"/>
          <w:szCs w:val="24"/>
          <w:lang w:val="bg-BG"/>
        </w:rPr>
        <w:t>,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 заменянето му с използване на един-единствен метод като единна база за определяне на възстановимата стойност на даден актив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или единица, генерираща парични потоци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).</w:t>
      </w:r>
    </w:p>
    <w:p w:rsidR="00BD4B41" w:rsidRPr="00DD547E" w:rsidRDefault="001B644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Единадесет</w:t>
      </w:r>
      <w:r w:rsidRPr="001B644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 членовете на Съвета изразиха съгласие, 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трима</w:t>
      </w:r>
      <w:r w:rsidRPr="001B644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– несъгласие с това решение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реши в порядък на работна хипотеза</w:t>
      </w:r>
      <w:r w:rsidR="00C26B25">
        <w:rPr>
          <w:rFonts w:asciiTheme="minorHAnsi" w:eastAsia="Times New Roman" w:hAnsiTheme="minorHAnsi" w:cs="Helvetica"/>
          <w:color w:val="575757"/>
          <w:szCs w:val="24"/>
          <w:lang w:val="bg-BG"/>
        </w:rPr>
        <w:t>, че посочените по-долу възможни подходи са извън обхвата на изследователския проект, посветен на репутация и обезценка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C26B25" w:rsidP="00BD4B4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Изискването да се оповестява оценка на общо активи и пасиви за всеки един подлежащ на отчитане сегмент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BD4B41" w:rsidRPr="00DD547E" w:rsidRDefault="00C26B25" w:rsidP="00BD4B41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Извършване на преглед на редакцията на изискванията за оповестяване в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 w:rsidR="006E532D" w:rsidRPr="00DD547E">
        <w:rPr>
          <w:rFonts w:asciiTheme="minorHAnsi" w:eastAsia="Times New Roman" w:hAnsiTheme="minorHAnsi" w:cs="Helvetica"/>
          <w:color w:val="333333"/>
          <w:szCs w:val="24"/>
        </w:rPr>
        <w:t>МСФО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3 </w:t>
      </w:r>
      <w:r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Бизнес комбинации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1B644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Тринадесет от членовете на Съвета изразиха съгласие, а един – несъгласие с това решение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реши в порядък на работна хипотеза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26B25">
        <w:rPr>
          <w:rFonts w:asciiTheme="minorHAnsi" w:eastAsia="Times New Roman" w:hAnsiTheme="minorHAnsi" w:cs="Helvetica"/>
          <w:color w:val="575757"/>
          <w:szCs w:val="24"/>
          <w:lang w:val="bg-BG"/>
        </w:rPr>
        <w:t>да не разглежда отново повторното въвеждане на амортизация на репутацията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.  </w:t>
      </w:r>
      <w:r w:rsidR="001B644D" w:rsidRPr="001B644D">
        <w:rPr>
          <w:rFonts w:asciiTheme="minorHAnsi" w:eastAsia="Times New Roman" w:hAnsiTheme="minorHAnsi" w:cs="Helvetica"/>
          <w:color w:val="575757"/>
          <w:szCs w:val="24"/>
          <w:lang w:val="bg-BG"/>
        </w:rPr>
        <w:t>Единадесет от членовете на Съвета изразиха съгласие, а трима – несъгласие с това решение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BD4B41" w:rsidRPr="00DD547E" w:rsidRDefault="000C78C6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C26B25" w:rsidP="00BD4B41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вземе решения дали резултатът от проекта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следва да бъде документ за обсъждане или проект за обсъждане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BD4B41" w:rsidRPr="00DD547E" w:rsidRDefault="00C26B25" w:rsidP="00BD4B41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обсъди дали да разгледа оформянето като междинен сбор на някои нематериални активи в рамките на репутацията в бизнес комбинация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;</w:t>
      </w:r>
    </w:p>
    <w:p w:rsidR="00BD4B41" w:rsidRPr="00DD547E" w:rsidRDefault="00C26B25" w:rsidP="00BD4B41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продължи да обсъжда дали да опрости изчисляването на стойността в употреба, като отстрани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:</w:t>
      </w:r>
    </w:p>
    <w:p w:rsidR="00BD4B41" w:rsidRPr="00DD547E" w:rsidRDefault="00C26B25" w:rsidP="00BD4B41">
      <w:pPr>
        <w:widowControl/>
        <w:numPr>
          <w:ilvl w:val="1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изричното изискване да се използват входящи данни преди данъчно облагане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BD4B41" w:rsidRPr="00DD547E" w:rsidRDefault="00D4154D" w:rsidP="00BD4B41">
      <w:pPr>
        <w:widowControl/>
        <w:numPr>
          <w:ilvl w:val="1"/>
          <w:numId w:val="11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забраната относно включването </w:t>
      </w:r>
      <w:r w:rsidR="00F502E2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на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приблизително оценени парични потоци от бъдещо преструктуриране, за което не са поети ангажименти и от подобряването или увеличаването на резултатите от дейността на актива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BD4B41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BD4B41" w:rsidRPr="00DD547E" w:rsidRDefault="00B4627C" w:rsidP="00BD4B41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3" w:name="4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6E532D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9)</w:t>
      </w:r>
      <w:bookmarkEnd w:id="3"/>
    </w:p>
    <w:p w:rsidR="00BD4B41" w:rsidRPr="00DD547E" w:rsidRDefault="000C78C6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>На 1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4</w:t>
      </w: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декември 2017 г. Съветът проведе заседание, за да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бъде запознат с обратна информация от срещата на Консултативната група по въпросите на дейностите с регулирани цени, която се състоя на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26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октомври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2017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година и с актуална информация във връзка с плана за разработване на следващия консултативен документ във връзка с този проект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proofErr w:type="gramStart"/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E39B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изрази благодарност на членовете на групата за предоставената от тях ценна информация относно оперативните въпроси, обсъдени по време на </w:t>
      </w:r>
      <w:r w:rsidR="009701E1">
        <w:rPr>
          <w:rFonts w:asciiTheme="minorHAnsi" w:eastAsia="Times New Roman" w:hAnsiTheme="minorHAnsi" w:cs="Helvetica"/>
          <w:color w:val="575757"/>
          <w:szCs w:val="24"/>
          <w:lang w:val="bg-BG"/>
        </w:rPr>
        <w:t>срещата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  <w:proofErr w:type="gramEnd"/>
    </w:p>
    <w:p w:rsidR="00BD4B41" w:rsidRPr="00DD547E" w:rsidRDefault="00486FD0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486FD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E39B4">
        <w:rPr>
          <w:rFonts w:asciiTheme="minorHAnsi" w:eastAsia="Times New Roman" w:hAnsiTheme="minorHAnsi" w:cs="Helvetica"/>
          <w:color w:val="575757"/>
          <w:szCs w:val="24"/>
          <w:lang w:val="bg-BG"/>
        </w:rPr>
        <w:t>ще обсъди предложения във връзка с модела, който се разработва по отношение на дейностите с регулирани цени, наред с неговия обхват, преди да вземе решение дали да публикува Проект за обсъждане или Документ за обсъждане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BD4B41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BD4B41" w:rsidRPr="00DD547E" w:rsidRDefault="00B4627C" w:rsidP="00BD4B41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4" w:name="5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Динамично управление на риска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6E532D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4)</w:t>
      </w:r>
      <w:bookmarkEnd w:id="4"/>
    </w:p>
    <w:p w:rsidR="00BD4B41" w:rsidRPr="00DD547E" w:rsidRDefault="000C78C6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>На 1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4</w:t>
      </w: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декември 2017 г. Съветът проведе заседание, за да обсъди</w:t>
      </w:r>
      <w:r w:rsidRPr="000C78C6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E39B4"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предложения проекто-план за разработване на счетоводен модел за динамично управление на риска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8E39B4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По-конкретно Съветът реши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8E39B4" w:rsidP="00BD4B41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първо да се фокусира върху разработването на базов модел за най-важните проблемни въпроси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8E39B4" w:rsidP="00BD4B41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потърси обратна информация относно практическата приложимост на този базов модел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Начинът, по който да бъде получена тази обратна информация ще бъде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определен на по-късна дата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8E39B4" w:rsidP="00BD4B41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да адресира небазовите въпроси като финална стъпка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1B644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 членове на Съвета изразиха съгласие с това решение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E39B4">
        <w:rPr>
          <w:rFonts w:asciiTheme="minorHAnsi" w:eastAsia="Times New Roman" w:hAnsiTheme="minorHAnsi" w:cs="Helvetica"/>
          <w:color w:val="575757"/>
          <w:szCs w:val="24"/>
          <w:lang w:val="bg-BG"/>
        </w:rPr>
        <w:t>ще пристъпи към техническите разисквания с обсъждане на профила на активите във връзка с динамичното управление на риска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BD4B41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BD4B41" w:rsidRPr="00DD547E" w:rsidRDefault="00B4627C" w:rsidP="00BD4B41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5" w:name="6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Въпроси, свързани с прилагане на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 w:rsidR="006E532D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МСФО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стандартите</w:t>
      </w:r>
      <w:bookmarkEnd w:id="5"/>
    </w:p>
    <w:p w:rsidR="00BD4B41" w:rsidRPr="00DD547E" w:rsidRDefault="000C78C6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13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 14 </w:t>
      </w: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>декември 2017 г. Съветът проведе заседание, за да обсъди</w:t>
      </w:r>
      <w:r w:rsidRPr="000C78C6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B53CAA"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проекти във връзка с въвеждане и поддържане на стандарти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B53CAA" w:rsidP="00B53CAA">
      <w:pPr>
        <w:widowControl/>
        <w:shd w:val="clear" w:color="auto" w:fill="FFFFFF"/>
        <w:tabs>
          <w:tab w:val="left" w:pos="6036"/>
        </w:tabs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Актуална информация </w:t>
      </w:r>
      <w:r w:rsidRPr="00B53CAA">
        <w:rPr>
          <w:rFonts w:asciiTheme="minorHAnsi" w:eastAsia="Times New Roman" w:hAnsiTheme="minorHAnsi" w:cs="Helvetica"/>
          <w:b/>
          <w:bCs/>
          <w:iCs/>
          <w:color w:val="333333"/>
          <w:szCs w:val="24"/>
          <w:lang w:val="bg-BG"/>
        </w:rPr>
        <w:t>от КРМСФО</w:t>
      </w:r>
      <w:r>
        <w:rPr>
          <w:rFonts w:asciiTheme="minorHAnsi" w:eastAsia="Times New Roman" w:hAnsiTheme="minorHAnsi" w:cs="Helvetica"/>
          <w:b/>
          <w:bCs/>
          <w:iCs/>
          <w:color w:val="333333"/>
          <w:szCs w:val="24"/>
          <w:lang w:val="bg-BG"/>
        </w:rPr>
        <w:t xml:space="preserve"> 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12)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B53CAA">
        <w:rPr>
          <w:rFonts w:asciiTheme="minorHAnsi" w:eastAsia="Times New Roman" w:hAnsiTheme="minorHAnsi" w:cs="Helvetica"/>
          <w:color w:val="575757"/>
          <w:szCs w:val="24"/>
          <w:lang w:val="bg-BG"/>
        </w:rPr>
        <w:t>бе запознат с актуална информация относно проведеното през ноември 2017 г. заседание на Комитета по разясненията на МСФО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B53CAA">
        <w:rPr>
          <w:rFonts w:asciiTheme="minorHAnsi" w:eastAsia="Times New Roman" w:hAnsiTheme="minorHAnsi" w:cs="Helvetica"/>
          <w:color w:val="575757"/>
          <w:szCs w:val="24"/>
          <w:lang w:val="bg-BG"/>
        </w:rPr>
        <w:t>„Комитетът“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). </w:t>
      </w:r>
      <w:r w:rsidR="004335D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Подробности за това заседания бяха публикувани в Бюлетина с актуална информация от КРМСФО </w:t>
      </w:r>
      <w:r w:rsidR="004335D2">
        <w:rPr>
          <w:rFonts w:asciiTheme="minorHAnsi" w:eastAsia="Times New Roman" w:hAnsiTheme="minorHAnsi" w:cs="Helvetica"/>
          <w:color w:val="575757"/>
          <w:szCs w:val="24"/>
        </w:rPr>
        <w:t>(</w:t>
      </w:r>
      <w:hyperlink r:id="rId12" w:history="1">
        <w:r w:rsidR="00BD4B41" w:rsidRPr="00DD547E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>IFRIC</w:t>
        </w:r>
        <w:r w:rsidR="00BD4B41" w:rsidRPr="00DD547E">
          <w:rPr>
            <w:rFonts w:asciiTheme="minorHAnsi" w:eastAsia="Times New Roman" w:hAnsiTheme="minorHAnsi" w:cs="Helvetica"/>
            <w:color w:val="CD3333"/>
            <w:sz w:val="18"/>
            <w:szCs w:val="18"/>
            <w:u w:val="single"/>
            <w:vertAlign w:val="superscript"/>
          </w:rPr>
          <w:t>® </w:t>
        </w:r>
        <w:r w:rsidR="00BD4B41" w:rsidRPr="00DD547E">
          <w:rPr>
            <w:rFonts w:asciiTheme="minorHAnsi" w:eastAsia="Times New Roman" w:hAnsiTheme="minorHAnsi" w:cs="Helvetica"/>
            <w:i/>
            <w:iCs/>
            <w:color w:val="CD3333"/>
            <w:szCs w:val="24"/>
          </w:rPr>
          <w:t>Update</w:t>
        </w:r>
      </w:hyperlink>
      <w:r w:rsidR="004335D2">
        <w:rPr>
          <w:rFonts w:asciiTheme="minorHAnsi" w:eastAsia="Times New Roman" w:hAnsiTheme="minorHAnsi" w:cs="Helvetica"/>
          <w:i/>
          <w:iCs/>
          <w:color w:val="CD3333"/>
          <w:szCs w:val="24"/>
        </w:rPr>
        <w:t>)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 </w:t>
      </w:r>
    </w:p>
    <w:p w:rsidR="00BD4B41" w:rsidRPr="00DD547E" w:rsidRDefault="00812ABB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Разходи, вземани под внимание при оценяване дали даден договор е обременяващ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(</w:t>
      </w:r>
      <w:r w:rsidR="006E532D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МСС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37)—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Решения на Комитета по разясненията 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12A)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12ABB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обсъди решението на Комитета да разгледа проект за разясняване на значението на термина „неизбежни разходи“ в дефиницията на обременяващ договор в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 37 </w:t>
      </w:r>
      <w:r w:rsidR="00812ABB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Провизии</w:t>
      </w:r>
      <w:r w:rsidR="00BD4B41" w:rsidRPr="00DD547E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, </w:t>
      </w:r>
      <w:r w:rsidR="00812ABB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условни пасиви и условни активи</w:t>
      </w:r>
      <w:r w:rsidR="00BD4B41" w:rsidRPr="00DD547E">
        <w:rPr>
          <w:rFonts w:asciiTheme="minorHAnsi" w:eastAsia="Times New Roman" w:hAnsiTheme="minorHAnsi" w:cs="Helvetica"/>
          <w:i/>
          <w:iCs/>
          <w:color w:val="575757"/>
          <w:szCs w:val="24"/>
        </w:rPr>
        <w:t>.</w:t>
      </w:r>
    </w:p>
    <w:p w:rsidR="00BD4B41" w:rsidRPr="00DD547E" w:rsidRDefault="00486FD0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486FD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812ABB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Промени в счетоводни политики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изменения в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</w:t>
      </w:r>
      <w:r w:rsidR="006E532D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МСС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8)—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Въпроси, нуждаещи се от уточняване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: 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преминаване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12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12ABB"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изискванията за преход във връзка с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812ABB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Промени в счетоводни политики</w:t>
      </w:r>
      <w:r w:rsidR="00BD4B41" w:rsidRPr="00DD547E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(</w:t>
      </w:r>
      <w:r w:rsidR="00812ABB">
        <w:rPr>
          <w:rFonts w:asciiTheme="minorHAnsi" w:eastAsia="Times New Roman" w:hAnsiTheme="minorHAnsi" w:cs="Helvetica"/>
          <w:color w:val="575757"/>
          <w:szCs w:val="24"/>
          <w:lang w:val="bg-BG"/>
        </w:rPr>
        <w:t>Изменения в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8).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реши в порядък на работна хипотеза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12ABB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предложи предприятията да прилагат измененията в МС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С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8 </w:t>
      </w:r>
      <w:r w:rsidR="00812ABB">
        <w:rPr>
          <w:rFonts w:asciiTheme="minorHAnsi" w:eastAsia="Times New Roman" w:hAnsiTheme="minorHAnsi" w:cs="Helvetica"/>
          <w:color w:val="575757"/>
          <w:szCs w:val="24"/>
          <w:lang w:val="bg-BG"/>
        </w:rPr>
        <w:t>по отношение на доброволни промени в счетоводни политики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812ABB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произтичащи от решения, взети в рамките на програмата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812ABB">
        <w:rPr>
          <w:rFonts w:asciiTheme="minorHAnsi" w:eastAsia="Times New Roman" w:hAnsiTheme="minorHAnsi" w:cs="Helvetica"/>
          <w:color w:val="575757"/>
          <w:szCs w:val="24"/>
          <w:lang w:val="bg-BG"/>
        </w:rPr>
        <w:t>които предприятието прави на или след датата на влизане в сила на измененията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Всички членове на Съвета изразиха съгласие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12ABB">
        <w:rPr>
          <w:rFonts w:asciiTheme="minorHAnsi" w:eastAsia="Times New Roman" w:hAnsiTheme="minorHAnsi" w:cs="Helvetica"/>
          <w:color w:val="575757"/>
          <w:szCs w:val="24"/>
          <w:lang w:val="bg-BG"/>
        </w:rPr>
        <w:t>с това решение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12ABB">
        <w:rPr>
          <w:rFonts w:asciiTheme="minorHAnsi" w:eastAsia="Times New Roman" w:hAnsiTheme="minorHAnsi" w:cs="Helvetica"/>
          <w:color w:val="575757"/>
          <w:szCs w:val="24"/>
          <w:lang w:val="bg-BG"/>
        </w:rPr>
        <w:t>възнамерява да публикува проект за обсъждане през първото тримесечие на 2018 година.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МСФО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1 </w:t>
      </w:r>
      <w:r w:rsidR="003460D9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Прилагане за първи път на Международните стандарти за финансово отчитане 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—</w:t>
      </w:r>
      <w:r w:rsidR="003460D9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Дъщерно предприятие като предприятие, прилагащо за първи път стандартите 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—</w:t>
      </w:r>
      <w:r w:rsidR="003460D9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Възможно изготвяне и въвеждане на стандарт с тесен обхват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12</w:t>
      </w:r>
      <w:r w:rsidR="003460D9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В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препоръките на Комитета да предложи изменение на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1 </w:t>
      </w:r>
      <w:proofErr w:type="spellStart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>Прилагане</w:t>
      </w:r>
      <w:proofErr w:type="spellEnd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>за</w:t>
      </w:r>
      <w:proofErr w:type="spellEnd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>първи</w:t>
      </w:r>
      <w:proofErr w:type="spellEnd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>път</w:t>
      </w:r>
      <w:proofErr w:type="spellEnd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>на</w:t>
      </w:r>
      <w:proofErr w:type="spellEnd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>Международните</w:t>
      </w:r>
      <w:proofErr w:type="spellEnd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>стандарти</w:t>
      </w:r>
      <w:proofErr w:type="spellEnd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>за</w:t>
      </w:r>
      <w:proofErr w:type="spellEnd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i/>
          <w:iCs/>
          <w:color w:val="575757"/>
          <w:szCs w:val="24"/>
        </w:rPr>
        <w:t>финансово</w:t>
      </w:r>
      <w:proofErr w:type="spellEnd"/>
      <w:r w:rsidR="003460D9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 отчитане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.  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Предложението би изисквало дъщерно предприятие, което прилага параграф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Г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16(a) 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от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1 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да оценява кумулативните разлики при преизчисляване, използвайки сумите, отчетени от предприятието майка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на базата на датата на преминаване на предприятието майка към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DD547E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стандартите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като се вземат под внимание всички корекции, направени с оглед консолидационните процедури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и за отчитане на ефекта от бизнес комбинацията, в която предприятието майка придобива дъщерното предприятие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).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Всички членове на Съвета изразиха съгласие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1B644D">
        <w:rPr>
          <w:rFonts w:asciiTheme="minorHAnsi" w:eastAsia="Times New Roman" w:hAnsiTheme="minorHAnsi" w:cs="Helvetica"/>
          <w:color w:val="575757"/>
          <w:szCs w:val="24"/>
          <w:lang w:val="bg-BG"/>
        </w:rPr>
        <w:t>с това предложение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BD4B41" w:rsidRPr="00DD547E" w:rsidRDefault="003460D9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бъдещо свое заседание </w:t>
      </w:r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ще обсъди преходните разпоредби и стъпките от регламентираната процедура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3460D9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Имоти, машини и съоръжения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: 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Постъпления преди предвидената употреба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(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предложение за изменение на МСС</w:t>
      </w:r>
      <w:r w:rsidR="00BD4B41" w:rsidRPr="00DD547E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16)—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Обобщение на становищата, получени като обратна информация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12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Г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460D9"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обобщение на становищата, получени като обратна информация във връзка с Проекта за обсъждане</w:t>
      </w:r>
      <w:r w:rsidR="00BD4B41" w:rsidRPr="00DD547E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3460D9" w:rsidRPr="003460D9">
        <w:rPr>
          <w:rFonts w:asciiTheme="minorHAnsi" w:eastAsia="Times New Roman" w:hAnsiTheme="minorHAnsi" w:cs="Helvetica"/>
          <w:bCs/>
          <w:i/>
          <w:iCs/>
          <w:color w:val="575757"/>
          <w:szCs w:val="24"/>
          <w:lang w:val="bg-BG"/>
        </w:rPr>
        <w:t>Имоти, машини и съоръжения</w:t>
      </w:r>
      <w:r w:rsidR="003460D9" w:rsidRPr="003460D9">
        <w:rPr>
          <w:rFonts w:asciiTheme="minorHAnsi" w:eastAsia="Times New Roman" w:hAnsiTheme="minorHAnsi" w:cs="Helvetica"/>
          <w:bCs/>
          <w:i/>
          <w:iCs/>
          <w:color w:val="575757"/>
          <w:szCs w:val="24"/>
        </w:rPr>
        <w:t xml:space="preserve">: </w:t>
      </w:r>
      <w:r w:rsidR="003460D9" w:rsidRPr="003460D9">
        <w:rPr>
          <w:rFonts w:asciiTheme="minorHAnsi" w:eastAsia="Times New Roman" w:hAnsiTheme="minorHAnsi" w:cs="Helvetica"/>
          <w:bCs/>
          <w:i/>
          <w:iCs/>
          <w:color w:val="575757"/>
          <w:szCs w:val="24"/>
          <w:lang w:val="bg-BG"/>
        </w:rPr>
        <w:t>Постъпления преди предвидената употреба</w:t>
      </w:r>
      <w:r w:rsidR="003460D9" w:rsidRPr="003460D9">
        <w:rPr>
          <w:rFonts w:asciiTheme="minorHAnsi" w:eastAsia="Times New Roman" w:hAnsiTheme="minorHAnsi" w:cs="Helvetica"/>
          <w:bCs/>
          <w:i/>
          <w:iCs/>
          <w:color w:val="575757"/>
          <w:szCs w:val="24"/>
        </w:rPr>
        <w:t xml:space="preserve"> 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(</w:t>
      </w:r>
      <w:proofErr w:type="spellStart"/>
      <w:r w:rsidR="003460D9" w:rsidRPr="003460D9">
        <w:rPr>
          <w:rFonts w:asciiTheme="minorHAnsi" w:eastAsia="Times New Roman" w:hAnsiTheme="minorHAnsi" w:cs="Helvetica"/>
          <w:color w:val="575757"/>
          <w:szCs w:val="24"/>
        </w:rPr>
        <w:t>предложение</w:t>
      </w:r>
      <w:proofErr w:type="spellEnd"/>
      <w:r w:rsidR="003460D9" w:rsidRPr="003460D9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color w:val="575757"/>
          <w:szCs w:val="24"/>
        </w:rPr>
        <w:t>за</w:t>
      </w:r>
      <w:proofErr w:type="spellEnd"/>
      <w:r w:rsidR="003460D9" w:rsidRPr="003460D9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color w:val="575757"/>
          <w:szCs w:val="24"/>
        </w:rPr>
        <w:t>изменение</w:t>
      </w:r>
      <w:proofErr w:type="spellEnd"/>
      <w:r w:rsidR="003460D9" w:rsidRPr="003460D9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3460D9" w:rsidRPr="003460D9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="003460D9" w:rsidRPr="003460D9">
        <w:rPr>
          <w:rFonts w:asciiTheme="minorHAnsi" w:eastAsia="Times New Roman" w:hAnsiTheme="minorHAnsi" w:cs="Helvetica"/>
          <w:color w:val="575757"/>
          <w:szCs w:val="24"/>
        </w:rPr>
        <w:t xml:space="preserve"> МСС 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16).</w:t>
      </w:r>
    </w:p>
    <w:p w:rsidR="00BD4B41" w:rsidRPr="00DD547E" w:rsidRDefault="00486FD0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486FD0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</w:p>
    <w:p w:rsidR="00BD4B41" w:rsidRPr="00DD547E" w:rsidRDefault="003460D9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Комитетът ще проведе разисквания</w:t>
      </w:r>
      <w:r w:rsidR="00C22F8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предложените изменения на бъдещо свое заседание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C22F80">
        <w:rPr>
          <w:rFonts w:asciiTheme="minorHAnsi" w:eastAsia="Times New Roman" w:hAnsiTheme="minorHAnsi" w:cs="Helvetica"/>
          <w:color w:val="575757"/>
          <w:szCs w:val="24"/>
          <w:lang w:val="bg-BG"/>
        </w:rPr>
        <w:t>вземайки под внимание получените като обратна информация становища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BD4B41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BD4B41" w:rsidRPr="00DD547E" w:rsidRDefault="00B4627C" w:rsidP="00BD4B41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6" w:name="7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6E532D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23)</w:t>
      </w:r>
      <w:bookmarkEnd w:id="6"/>
    </w:p>
    <w:p w:rsidR="00BD4B41" w:rsidRPr="00DD547E" w:rsidRDefault="000C78C6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>На 1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4</w:t>
      </w:r>
      <w:r w:rsidRPr="000C78C6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декември 2017 г. Съветът проведе заседание, за да обсъди</w:t>
      </w:r>
      <w:r w:rsidRPr="000C78C6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22F8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изследователския проект, посветен на Бизнес комбинации под общ контрол </w:t>
      </w:r>
      <w:r w:rsidR="00C22F80">
        <w:rPr>
          <w:rFonts w:asciiTheme="minorHAnsi" w:eastAsia="Times New Roman" w:hAnsiTheme="minorHAnsi" w:cs="Helvetica"/>
          <w:color w:val="575757"/>
          <w:szCs w:val="24"/>
        </w:rPr>
        <w:t>(</w:t>
      </w:r>
      <w:r w:rsidR="00C22F80">
        <w:rPr>
          <w:rFonts w:asciiTheme="minorHAnsi" w:eastAsia="Times New Roman" w:hAnsiTheme="minorHAnsi" w:cs="Helvetica"/>
          <w:color w:val="575757"/>
          <w:szCs w:val="24"/>
          <w:lang w:val="bg-BG"/>
        </w:rPr>
        <w:t>БКПОК</w:t>
      </w:r>
      <w:r w:rsidR="00C22F80">
        <w:rPr>
          <w:rFonts w:asciiTheme="minorHAnsi" w:eastAsia="Times New Roman" w:hAnsiTheme="minorHAnsi" w:cs="Helvetica"/>
          <w:color w:val="575757"/>
          <w:szCs w:val="24"/>
        </w:rPr>
        <w:t>)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C22F80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Преглед на свързаните с темата проекти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23A)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22F80"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въпросите, отнасящи се до обхвата на проекта относно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22F80" w:rsidRPr="00C22F80">
        <w:rPr>
          <w:rFonts w:asciiTheme="minorHAnsi" w:eastAsia="Times New Roman" w:hAnsiTheme="minorHAnsi" w:cs="Helvetica"/>
          <w:color w:val="575757"/>
          <w:szCs w:val="24"/>
        </w:rPr>
        <w:t>БКПОК</w:t>
      </w:r>
      <w:r w:rsidR="00C22F80">
        <w:rPr>
          <w:rFonts w:asciiTheme="minorHAnsi" w:eastAsia="Times New Roman" w:hAnsiTheme="minorHAnsi" w:cs="Helvetica"/>
          <w:color w:val="575757"/>
          <w:szCs w:val="24"/>
          <w:lang w:val="bg-BG"/>
        </w:rPr>
        <w:t>, идентифицирани в рамките на други проекти на Съвета и на Комитета по разясненията на МСФО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486FD0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C22F80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Обхват на проекта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23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BD4B41" w:rsidRPr="00DD547E" w:rsidRDefault="00C22F80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 време на проведеното през октомври 2017 година заседание Съветът изясни обхвата на проекта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декемврийското заседание 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>реши</w:t>
      </w:r>
      <w:proofErr w:type="spellEnd"/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 xml:space="preserve"> в </w:t>
      </w:r>
      <w:proofErr w:type="spellStart"/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>порядък</w:t>
      </w:r>
      <w:proofErr w:type="spellEnd"/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>на</w:t>
      </w:r>
      <w:proofErr w:type="spellEnd"/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>работна</w:t>
      </w:r>
      <w:proofErr w:type="spellEnd"/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spellStart"/>
      <w:r w:rsidR="006E532D" w:rsidRPr="00DD547E">
        <w:rPr>
          <w:rFonts w:asciiTheme="minorHAnsi" w:eastAsia="Times New Roman" w:hAnsiTheme="minorHAnsi" w:cs="Helvetica"/>
          <w:color w:val="575757"/>
          <w:szCs w:val="24"/>
        </w:rPr>
        <w:t>хипотеза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че обхватът на този проект обхваща също така и сделки, включващи прехвърляне на един или повече бизнеси, при които всички комбиниращи се страни в крайна сметка се контролират от една и съща контролираща страна или страни и сделките са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BD4B41" w:rsidRPr="00DD547E" w:rsidRDefault="00C22F80" w:rsidP="00BD4B41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предшествани от външно придобиване 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/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или последвани от външна продажба на една или повече от комбиниращите се страни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или</w:t>
      </w:r>
    </w:p>
    <w:p w:rsidR="00BD4B41" w:rsidRPr="00DD547E" w:rsidRDefault="00C22F80" w:rsidP="00BD4B41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</w:rPr>
      </w:pPr>
      <w:r>
        <w:rPr>
          <w:rFonts w:asciiTheme="minorHAnsi" w:eastAsia="Times New Roman" w:hAnsiTheme="minorHAnsi" w:cs="Helvetica"/>
          <w:color w:val="333333"/>
          <w:szCs w:val="24"/>
          <w:lang w:val="bg-BG"/>
        </w:rPr>
        <w:t>извършени под условие на бъдеща продажба, като например, първоначално публично предлагане</w:t>
      </w:r>
      <w:r w:rsidR="00BD4B41" w:rsidRPr="00DD547E">
        <w:rPr>
          <w:rFonts w:asciiTheme="minorHAnsi" w:eastAsia="Times New Roman" w:hAnsiTheme="minorHAnsi" w:cs="Helvetica"/>
          <w:color w:val="333333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Всички членове на Съвета изразиха съгласие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D3BDD">
        <w:rPr>
          <w:rFonts w:asciiTheme="minorHAnsi" w:eastAsia="Times New Roman" w:hAnsiTheme="minorHAnsi" w:cs="Helvetica"/>
          <w:color w:val="575757"/>
          <w:szCs w:val="24"/>
          <w:lang w:val="bg-BG"/>
        </w:rPr>
        <w:t>с това решение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4D3BDD" w:rsidP="00BD4B41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Методи на счетоводно отчитане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6E532D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23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В</w:t>
      </w:r>
      <w:r w:rsidR="00BD4B41" w:rsidRPr="00DD547E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D3BDD"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методите за счетоводно отчитане на сделки и операции, попадащи в обхвата на проекта, посветен на Бизнес комбинациите под общ контрол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4D3BD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4D3BDD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D4B41" w:rsidRPr="00DD547E" w:rsidRDefault="006E532D" w:rsidP="00BD4B41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DD547E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</w:rPr>
        <w:t>Следващи етапи</w:t>
      </w:r>
      <w:bookmarkStart w:id="7" w:name="_GoBack"/>
      <w:bookmarkEnd w:id="7"/>
    </w:p>
    <w:p w:rsidR="00B84CAA" w:rsidRPr="00DD547E" w:rsidRDefault="006E532D" w:rsidP="004D3BDD">
      <w:pPr>
        <w:widowControl/>
        <w:shd w:val="clear" w:color="auto" w:fill="FFFFFF"/>
        <w:suppressAutoHyphens w:val="0"/>
        <w:spacing w:after="300"/>
        <w:rPr>
          <w:rFonts w:asciiTheme="minorHAnsi" w:hAnsiTheme="minorHAnsi"/>
        </w:rPr>
      </w:pPr>
      <w:r w:rsidRPr="00DD547E">
        <w:rPr>
          <w:rFonts w:asciiTheme="minorHAnsi" w:eastAsia="Times New Roman" w:hAnsiTheme="minorHAnsi" w:cs="Helvetica"/>
          <w:color w:val="575757"/>
          <w:szCs w:val="24"/>
        </w:rPr>
        <w:t>Съветът</w:t>
      </w:r>
      <w:r w:rsidR="00BD4B41" w:rsidRPr="00DD547E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D3BDD">
        <w:rPr>
          <w:rFonts w:asciiTheme="minorHAnsi" w:eastAsia="Times New Roman" w:hAnsiTheme="minorHAnsi" w:cs="Helvetica"/>
          <w:color w:val="575757"/>
          <w:szCs w:val="24"/>
          <w:lang w:val="bg-BG"/>
        </w:rPr>
        <w:t>очаква да продължи с обсъжданията по проекта в началото на 2018 г.</w:t>
      </w:r>
    </w:p>
    <w:sectPr w:rsidR="00B84CAA" w:rsidRPr="00DD547E" w:rsidSect="005C6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74E"/>
    <w:multiLevelType w:val="multilevel"/>
    <w:tmpl w:val="6F5E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32836"/>
    <w:multiLevelType w:val="multilevel"/>
    <w:tmpl w:val="DCE6203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A6D9D"/>
    <w:multiLevelType w:val="multilevel"/>
    <w:tmpl w:val="F20A22F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03F42"/>
    <w:multiLevelType w:val="multilevel"/>
    <w:tmpl w:val="F430645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72E0E"/>
    <w:multiLevelType w:val="multilevel"/>
    <w:tmpl w:val="522001F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B651A"/>
    <w:multiLevelType w:val="multilevel"/>
    <w:tmpl w:val="6AE69A2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E0D6B"/>
    <w:multiLevelType w:val="multilevel"/>
    <w:tmpl w:val="AB50C50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42ACD"/>
    <w:multiLevelType w:val="multilevel"/>
    <w:tmpl w:val="AE8475D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16AFA"/>
    <w:multiLevelType w:val="multilevel"/>
    <w:tmpl w:val="D79046B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C73F5"/>
    <w:multiLevelType w:val="multilevel"/>
    <w:tmpl w:val="8D5A23C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8F451D"/>
    <w:multiLevelType w:val="multilevel"/>
    <w:tmpl w:val="E818676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D654A9"/>
    <w:multiLevelType w:val="multilevel"/>
    <w:tmpl w:val="571E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F4FD7"/>
    <w:multiLevelType w:val="multilevel"/>
    <w:tmpl w:val="F0F2099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4B41"/>
    <w:rsid w:val="00003A33"/>
    <w:rsid w:val="000C78C6"/>
    <w:rsid w:val="000D07BC"/>
    <w:rsid w:val="0011241E"/>
    <w:rsid w:val="001B5275"/>
    <w:rsid w:val="001B644D"/>
    <w:rsid w:val="002712B3"/>
    <w:rsid w:val="002A6D87"/>
    <w:rsid w:val="003164A2"/>
    <w:rsid w:val="003460D9"/>
    <w:rsid w:val="0040570F"/>
    <w:rsid w:val="004335D2"/>
    <w:rsid w:val="00486FD0"/>
    <w:rsid w:val="004971FA"/>
    <w:rsid w:val="004D12E4"/>
    <w:rsid w:val="004D3BDD"/>
    <w:rsid w:val="005C6514"/>
    <w:rsid w:val="0060658C"/>
    <w:rsid w:val="00636914"/>
    <w:rsid w:val="00674A84"/>
    <w:rsid w:val="006E532D"/>
    <w:rsid w:val="00812ABB"/>
    <w:rsid w:val="00826CCA"/>
    <w:rsid w:val="008B2803"/>
    <w:rsid w:val="008E39B4"/>
    <w:rsid w:val="009701E1"/>
    <w:rsid w:val="00A20BB6"/>
    <w:rsid w:val="00A44FAC"/>
    <w:rsid w:val="00B4627C"/>
    <w:rsid w:val="00B53CAA"/>
    <w:rsid w:val="00B84CAA"/>
    <w:rsid w:val="00B934BE"/>
    <w:rsid w:val="00BD4B41"/>
    <w:rsid w:val="00C22F80"/>
    <w:rsid w:val="00C26B25"/>
    <w:rsid w:val="00CB5C96"/>
    <w:rsid w:val="00D15DFD"/>
    <w:rsid w:val="00D4154D"/>
    <w:rsid w:val="00DD547E"/>
    <w:rsid w:val="00DE100D"/>
    <w:rsid w:val="00EB6A11"/>
    <w:rsid w:val="00F06DF3"/>
    <w:rsid w:val="00F13A8D"/>
    <w:rsid w:val="00F502E2"/>
    <w:rsid w:val="00F9314B"/>
    <w:rsid w:val="00FC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6"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3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421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news-and-events/updates/iasb-updates/december-20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rs.org/news-and-events/updates/iasb-updates/december-2017/" TargetMode="External"/><Relationship Id="rId12" Type="http://schemas.openxmlformats.org/officeDocument/2006/relationships/hyperlink" Target="http://www.ifrs.org/news-and-events/updates/ifric-updates/november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org/news-and-events/updates/iasb-updates/december-2017/" TargetMode="External"/><Relationship Id="rId11" Type="http://schemas.openxmlformats.org/officeDocument/2006/relationships/hyperlink" Target="http://www.ifrs.org/news-and-events/updates/iasb-updates/december-2017/" TargetMode="External"/><Relationship Id="rId5" Type="http://schemas.openxmlformats.org/officeDocument/2006/relationships/hyperlink" Target="http://www.ifrs.org/news-and-events/updates/iasb-updates/december-2017/" TargetMode="External"/><Relationship Id="rId10" Type="http://schemas.openxmlformats.org/officeDocument/2006/relationships/hyperlink" Target="http://www.ifrs.org/news-and-events/updates/iasb-updates/december-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s.org/news-and-events/updates/iasb-updates/december-20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tvs</cp:lastModifiedBy>
  <cp:revision>34</cp:revision>
  <dcterms:created xsi:type="dcterms:W3CDTF">2018-01-08T14:07:00Z</dcterms:created>
  <dcterms:modified xsi:type="dcterms:W3CDTF">2018-01-09T04:18:00Z</dcterms:modified>
</cp:coreProperties>
</file>