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41" w:rsidRPr="006D456E" w:rsidRDefault="00865B41" w:rsidP="00865B41">
      <w:pPr>
        <w:widowControl/>
        <w:shd w:val="clear" w:color="auto" w:fill="FFFFFF"/>
        <w:suppressAutoHyphens w:val="0"/>
        <w:outlineLvl w:val="0"/>
        <w:rPr>
          <w:rFonts w:asciiTheme="minorHAnsi" w:eastAsia="Times New Roman" w:hAnsiTheme="minorHAnsi" w:cs="Helvetica"/>
          <w:b/>
          <w:bCs/>
          <w:color w:val="FFFFFF"/>
          <w:kern w:val="36"/>
          <w:sz w:val="58"/>
          <w:szCs w:val="58"/>
        </w:rPr>
      </w:pPr>
      <w:r w:rsidRPr="006D456E">
        <w:rPr>
          <w:rFonts w:asciiTheme="minorHAnsi" w:eastAsia="Times New Roman" w:hAnsiTheme="minorHAnsi" w:cs="Helvetica"/>
          <w:b/>
          <w:bCs/>
          <w:color w:val="FFFFFF"/>
          <w:kern w:val="36"/>
          <w:sz w:val="58"/>
          <w:szCs w:val="58"/>
        </w:rPr>
        <w:t>IASB Update May 2018</w:t>
      </w:r>
    </w:p>
    <w:p w:rsidR="00865B41" w:rsidRPr="006D456E" w:rsidRDefault="006D456E" w:rsidP="00865B41">
      <w:pPr>
        <w:widowControl/>
        <w:shd w:val="clear" w:color="auto" w:fill="A41F35"/>
        <w:suppressAutoHyphens w:val="0"/>
        <w:outlineLvl w:val="0"/>
        <w:rPr>
          <w:rFonts w:asciiTheme="minorHAnsi" w:eastAsia="Times New Roman" w:hAnsiTheme="minorHAnsi" w:cs="Helvetica"/>
          <w:b/>
          <w:bCs/>
          <w:color w:val="FFFFFF"/>
          <w:kern w:val="36"/>
          <w:sz w:val="58"/>
          <w:szCs w:val="58"/>
        </w:rPr>
      </w:pPr>
      <w:r w:rsidRPr="006D456E">
        <w:rPr>
          <w:rFonts w:asciiTheme="minorHAnsi" w:eastAsia="Times New Roman" w:hAnsiTheme="minorHAnsi" w:cs="Helvetica"/>
          <w:b/>
          <w:bCs/>
          <w:color w:val="FFFFFF"/>
          <w:kern w:val="36"/>
          <w:sz w:val="58"/>
          <w:szCs w:val="58"/>
          <w:lang w:val="bg-BG"/>
        </w:rPr>
        <w:t>Информационен бюлетин на Съвета по международни счетоводни стандарти (IASB) – ма</w:t>
      </w:r>
      <w:r w:rsidR="0007298A">
        <w:rPr>
          <w:rFonts w:asciiTheme="minorHAnsi" w:eastAsia="Times New Roman" w:hAnsiTheme="minorHAnsi" w:cs="Helvetica"/>
          <w:b/>
          <w:bCs/>
          <w:color w:val="FFFFFF"/>
          <w:kern w:val="36"/>
          <w:sz w:val="58"/>
          <w:szCs w:val="58"/>
          <w:lang w:val="bg-BG"/>
        </w:rPr>
        <w:t>й</w:t>
      </w:r>
      <w:bookmarkStart w:id="0" w:name="_GoBack"/>
      <w:bookmarkEnd w:id="0"/>
      <w:r w:rsidRPr="006D456E">
        <w:rPr>
          <w:rFonts w:asciiTheme="minorHAnsi" w:eastAsia="Times New Roman" w:hAnsiTheme="minorHAnsi" w:cs="Helvetica"/>
          <w:b/>
          <w:bCs/>
          <w:color w:val="FFFFFF"/>
          <w:kern w:val="36"/>
          <w:sz w:val="58"/>
          <w:szCs w:val="58"/>
          <w:lang w:val="bg-BG"/>
        </w:rPr>
        <w:t xml:space="preserve"> 2018 г.</w:t>
      </w:r>
    </w:p>
    <w:p w:rsidR="00865B41" w:rsidRPr="006D456E" w:rsidRDefault="006D456E" w:rsidP="00865B41">
      <w:pPr>
        <w:widowControl/>
        <w:shd w:val="clear" w:color="auto" w:fill="FFFFFF"/>
        <w:suppressAutoHyphens w:val="0"/>
        <w:spacing w:after="300"/>
        <w:rPr>
          <w:rFonts w:asciiTheme="minorHAnsi" w:eastAsia="Times New Roman" w:hAnsiTheme="minorHAnsi" w:cs="Helvetica"/>
          <w:color w:val="575757"/>
          <w:szCs w:val="24"/>
        </w:rPr>
      </w:pPr>
      <w:r w:rsidRPr="00001E74">
        <w:rPr>
          <w:rFonts w:asciiTheme="minorHAnsi" w:eastAsia="Times New Roman" w:hAnsiTheme="minorHAnsi" w:cs="Helvetica"/>
          <w:color w:val="575757"/>
          <w:szCs w:val="24"/>
          <w:lang w:val="bg-BG"/>
        </w:rPr>
        <w:t>Настоящият бюлетин на Съвета по международни счетоводни стандарти (IASB) (”Съветът”) представя предварителните решения на Съвета. Окончателните решения на Съвета по международни счетоводни стандарти относно :МСФО стандарти (МСФО</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Standards), Изменения и Разяснения (IFRIC</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xml:space="preserve"> Interpretations) се подлагат на официално гласуване, съгласно предвиденото в </w:t>
      </w:r>
      <w:r w:rsidRPr="00001E74">
        <w:rPr>
          <w:rFonts w:asciiTheme="minorHAnsi" w:eastAsia="Times New Roman" w:hAnsiTheme="minorHAnsi" w:cs="Helvetica"/>
          <w:i/>
          <w:color w:val="575757"/>
          <w:szCs w:val="24"/>
          <w:lang w:val="bg-BG"/>
        </w:rPr>
        <w:t>Ръководството по регламентираната процедура</w:t>
      </w:r>
      <w:r w:rsidRPr="00001E74">
        <w:rPr>
          <w:rFonts w:asciiTheme="minorHAnsi" w:eastAsia="Times New Roman" w:hAnsiTheme="minorHAnsi" w:cs="Helvetica"/>
          <w:color w:val="575757"/>
          <w:szCs w:val="24"/>
          <w:lang w:val="bg-BG"/>
        </w:rPr>
        <w:t xml:space="preserve"> на Фондация МСФО (МСФО </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xml:space="preserve"> Foundation) и Комитета по разясненията на МСФО (</w:t>
      </w:r>
      <w:r w:rsidR="00A45D01">
        <w:rPr>
          <w:rFonts w:asciiTheme="minorHAnsi" w:eastAsia="Times New Roman" w:hAnsiTheme="minorHAnsi" w:cs="Helvetica"/>
          <w:color w:val="575757"/>
          <w:szCs w:val="24"/>
          <w:lang w:val="bg-BG"/>
        </w:rPr>
        <w:t>МСФО</w:t>
      </w:r>
      <w:r w:rsidRPr="00001E74">
        <w:rPr>
          <w:rFonts w:asciiTheme="minorHAnsi" w:eastAsia="Times New Roman" w:hAnsiTheme="minorHAnsi" w:cs="Helvetica"/>
          <w:color w:val="575757"/>
          <w:szCs w:val="24"/>
          <w:lang w:val="bg-BG"/>
        </w:rPr>
        <w:t xml:space="preserve"> Interpretation Committee</w:t>
      </w:r>
      <w:r>
        <w:rPr>
          <w:rFonts w:asciiTheme="minorHAnsi" w:eastAsia="Times New Roman" w:hAnsiTheme="minorHAnsi" w:cs="Helvetica"/>
          <w:color w:val="575757"/>
          <w:szCs w:val="24"/>
          <w:lang w:val="bg-BG"/>
        </w:rPr>
        <w:t>)</w:t>
      </w:r>
      <w:r w:rsidR="00865B41" w:rsidRPr="006D456E">
        <w:rPr>
          <w:rFonts w:asciiTheme="minorHAnsi" w:eastAsia="Times New Roman" w:hAnsiTheme="minorHAnsi" w:cs="Helvetica"/>
          <w:color w:val="575757"/>
          <w:szCs w:val="24"/>
        </w:rPr>
        <w:t>.</w:t>
      </w:r>
      <w:r w:rsidR="00865B41" w:rsidRPr="006D456E">
        <w:rPr>
          <w:rFonts w:asciiTheme="minorHAnsi" w:eastAsia="Times New Roman" w:hAnsiTheme="minorHAnsi" w:cs="Helvetica"/>
          <w:color w:val="575757"/>
          <w:szCs w:val="24"/>
        </w:rPr>
        <w:br/>
      </w:r>
      <w:r w:rsidR="00865B41" w:rsidRPr="006D456E">
        <w:rPr>
          <w:rFonts w:asciiTheme="minorHAnsi" w:eastAsia="Times New Roman" w:hAnsiTheme="minorHAnsi" w:cs="Helvetica"/>
          <w:color w:val="575757"/>
          <w:szCs w:val="24"/>
        </w:rPr>
        <w:br/>
      </w:r>
      <w:r w:rsidRPr="00001E74">
        <w:rPr>
          <w:rFonts w:asciiTheme="minorHAnsi" w:eastAsia="Times New Roman" w:hAnsiTheme="minorHAnsi" w:cs="Helvetica"/>
          <w:color w:val="575757"/>
          <w:szCs w:val="24"/>
          <w:lang w:val="bg-BG"/>
        </w:rPr>
        <w:t>На 2</w:t>
      </w:r>
      <w:r>
        <w:rPr>
          <w:rFonts w:asciiTheme="minorHAnsi" w:eastAsia="Times New Roman" w:hAnsiTheme="minorHAnsi" w:cs="Helvetica"/>
          <w:color w:val="575757"/>
          <w:szCs w:val="24"/>
          <w:lang w:val="bg-BG"/>
        </w:rPr>
        <w:t>2</w:t>
      </w:r>
      <w:r w:rsidRPr="00001E74">
        <w:rPr>
          <w:rFonts w:asciiTheme="minorHAnsi" w:eastAsia="Times New Roman" w:hAnsiTheme="minorHAnsi" w:cs="Helvetica"/>
          <w:color w:val="575757"/>
          <w:szCs w:val="24"/>
          <w:lang w:val="bg-BG"/>
        </w:rPr>
        <w:t xml:space="preserve"> </w:t>
      </w:r>
      <w:r>
        <w:rPr>
          <w:rFonts w:asciiTheme="minorHAnsi" w:eastAsia="Times New Roman" w:hAnsiTheme="minorHAnsi" w:cs="Helvetica"/>
          <w:color w:val="575757"/>
          <w:szCs w:val="24"/>
          <w:lang w:val="bg-BG"/>
        </w:rPr>
        <w:t>май</w:t>
      </w:r>
      <w:r w:rsidRPr="00001E74">
        <w:rPr>
          <w:rFonts w:asciiTheme="minorHAnsi" w:eastAsia="Times New Roman" w:hAnsiTheme="minorHAnsi" w:cs="Helvetica"/>
          <w:color w:val="575757"/>
          <w:szCs w:val="24"/>
          <w:lang w:val="bg-BG"/>
        </w:rPr>
        <w:t xml:space="preserve"> 2018 г., вторник, и 2</w:t>
      </w:r>
      <w:r>
        <w:rPr>
          <w:rFonts w:asciiTheme="minorHAnsi" w:eastAsia="Times New Roman" w:hAnsiTheme="minorHAnsi" w:cs="Helvetica"/>
          <w:color w:val="575757"/>
          <w:szCs w:val="24"/>
          <w:lang w:val="bg-BG"/>
        </w:rPr>
        <w:t>3</w:t>
      </w:r>
      <w:r w:rsidRPr="00001E74">
        <w:rPr>
          <w:rFonts w:asciiTheme="minorHAnsi" w:eastAsia="Times New Roman" w:hAnsiTheme="minorHAnsi" w:cs="Helvetica"/>
          <w:color w:val="575757"/>
          <w:szCs w:val="24"/>
          <w:lang w:val="bg-BG"/>
        </w:rPr>
        <w:t xml:space="preserve"> </w:t>
      </w:r>
      <w:r>
        <w:rPr>
          <w:rFonts w:asciiTheme="minorHAnsi" w:eastAsia="Times New Roman" w:hAnsiTheme="minorHAnsi" w:cs="Helvetica"/>
          <w:color w:val="575757"/>
          <w:szCs w:val="24"/>
          <w:lang w:val="bg-BG"/>
        </w:rPr>
        <w:t>май</w:t>
      </w:r>
      <w:r w:rsidRPr="00001E74">
        <w:rPr>
          <w:rFonts w:asciiTheme="minorHAnsi" w:eastAsia="Times New Roman" w:hAnsiTheme="minorHAnsi" w:cs="Helvetica"/>
          <w:color w:val="575757"/>
          <w:szCs w:val="24"/>
          <w:lang w:val="bg-BG"/>
        </w:rPr>
        <w:t xml:space="preserve"> 2018 г., сряда, Съветът проведе публични заседания в офисите на Фондация МСФО в Лондон, Великобритания</w:t>
      </w:r>
      <w:r w:rsidR="00865B41" w:rsidRPr="006D456E">
        <w:rPr>
          <w:rFonts w:asciiTheme="minorHAnsi" w:eastAsia="Times New Roman" w:hAnsiTheme="minorHAnsi" w:cs="Helvetica"/>
          <w:color w:val="575757"/>
          <w:szCs w:val="24"/>
        </w:rPr>
        <w:t>.</w:t>
      </w:r>
    </w:p>
    <w:p w:rsidR="00865B41" w:rsidRPr="006D456E" w:rsidRDefault="006D456E" w:rsidP="00865B41">
      <w:pPr>
        <w:widowControl/>
        <w:shd w:val="clear" w:color="auto" w:fill="FFFFFF"/>
        <w:suppressAutoHyphens w:val="0"/>
        <w:spacing w:after="300"/>
        <w:rPr>
          <w:rFonts w:asciiTheme="minorHAnsi" w:eastAsia="Times New Roman" w:hAnsiTheme="minorHAnsi" w:cs="Helvetica"/>
          <w:color w:val="575757"/>
          <w:szCs w:val="24"/>
        </w:rPr>
      </w:pPr>
      <w:r w:rsidRPr="00001E74">
        <w:rPr>
          <w:rFonts w:asciiTheme="minorHAnsi" w:eastAsia="Times New Roman" w:hAnsiTheme="minorHAnsi" w:cs="Helvetica"/>
          <w:color w:val="575757"/>
          <w:szCs w:val="24"/>
          <w:lang w:val="bg-BG"/>
        </w:rPr>
        <w:t>Темите, по реда на обсъждането им, включваха</w:t>
      </w:r>
      <w:r w:rsidR="00865B41" w:rsidRPr="006D456E">
        <w:rPr>
          <w:rFonts w:asciiTheme="minorHAnsi" w:eastAsia="Times New Roman" w:hAnsiTheme="minorHAnsi" w:cs="Helvetica"/>
          <w:color w:val="575757"/>
          <w:szCs w:val="24"/>
        </w:rPr>
        <w:t>:</w:t>
      </w:r>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5" w:anchor="1" w:history="1">
        <w:r w:rsidR="006D456E">
          <w:rPr>
            <w:rFonts w:asciiTheme="minorHAnsi" w:eastAsia="Times New Roman" w:hAnsiTheme="minorHAnsi" w:cs="Helvetica"/>
            <w:color w:val="CD3333"/>
            <w:szCs w:val="24"/>
            <w:u w:val="single"/>
            <w:lang w:val="bg-BG"/>
          </w:rPr>
          <w:t>Основни финансови отчети</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6" w:anchor="2" w:history="1">
        <w:r w:rsidR="006D456E">
          <w:rPr>
            <w:rFonts w:asciiTheme="minorHAnsi" w:eastAsia="Times New Roman" w:hAnsiTheme="minorHAnsi" w:cs="Helvetica"/>
            <w:color w:val="CD3333"/>
            <w:szCs w:val="24"/>
            <w:u w:val="single"/>
            <w:lang w:val="bg-BG"/>
          </w:rPr>
          <w:t xml:space="preserve">Инициатива за оповестяване </w:t>
        </w:r>
        <w:r w:rsidR="00865B41" w:rsidRPr="006D456E">
          <w:rPr>
            <w:rFonts w:asciiTheme="minorHAnsi" w:eastAsia="Times New Roman" w:hAnsiTheme="minorHAnsi" w:cs="Helvetica"/>
            <w:color w:val="CD3333"/>
            <w:szCs w:val="24"/>
            <w:u w:val="single"/>
          </w:rPr>
          <w:t>—</w:t>
        </w:r>
        <w:r w:rsidR="006D456E">
          <w:rPr>
            <w:rFonts w:asciiTheme="minorHAnsi" w:eastAsia="Times New Roman" w:hAnsiTheme="minorHAnsi" w:cs="Helvetica"/>
            <w:color w:val="CD3333"/>
            <w:szCs w:val="24"/>
            <w:u w:val="single"/>
            <w:lang w:val="bg-BG"/>
          </w:rPr>
          <w:t xml:space="preserve"> целеви преглед на оповестяванията на ниво стандарт</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7" w:anchor="3" w:history="1">
        <w:r w:rsidR="006D456E">
          <w:rPr>
            <w:rFonts w:asciiTheme="minorHAnsi" w:eastAsia="Times New Roman" w:hAnsiTheme="minorHAnsi" w:cs="Helvetica"/>
            <w:color w:val="CD3333"/>
            <w:szCs w:val="24"/>
            <w:u w:val="single"/>
            <w:lang w:val="bg-BG"/>
          </w:rPr>
          <w:t>Бизнес комбинации под общ контрол</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8" w:anchor="4" w:history="1">
        <w:r w:rsidR="006D456E">
          <w:rPr>
            <w:rFonts w:asciiTheme="minorHAnsi" w:eastAsia="Times New Roman" w:hAnsiTheme="minorHAnsi" w:cs="Helvetica"/>
            <w:color w:val="CD3333"/>
            <w:szCs w:val="24"/>
            <w:u w:val="single"/>
            <w:lang w:val="bg-BG"/>
          </w:rPr>
          <w:t>Дейности с регулирани цени</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9" w:anchor="5" w:history="1">
        <w:r w:rsidR="006D456E">
          <w:rPr>
            <w:rFonts w:asciiTheme="minorHAnsi" w:eastAsia="Times New Roman" w:hAnsiTheme="minorHAnsi" w:cs="Helvetica"/>
            <w:color w:val="CD3333"/>
            <w:szCs w:val="24"/>
            <w:u w:val="single"/>
            <w:lang w:val="bg-BG"/>
          </w:rPr>
          <w:t>Репутация и обезценка</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10" w:anchor="6" w:history="1">
        <w:r w:rsidR="006D456E">
          <w:rPr>
            <w:rFonts w:asciiTheme="minorHAnsi" w:eastAsia="Times New Roman" w:hAnsiTheme="minorHAnsi" w:cs="Helvetica"/>
            <w:color w:val="CD3333"/>
            <w:szCs w:val="24"/>
            <w:u w:val="single"/>
            <w:lang w:val="bg-BG"/>
          </w:rPr>
          <w:t>Прилагане</w:t>
        </w:r>
      </w:hyperlink>
    </w:p>
    <w:p w:rsidR="00865B41" w:rsidRPr="006D456E" w:rsidRDefault="006438BC" w:rsidP="00865B41">
      <w:pPr>
        <w:widowControl/>
        <w:numPr>
          <w:ilvl w:val="0"/>
          <w:numId w:val="1"/>
        </w:numPr>
        <w:shd w:val="clear" w:color="auto" w:fill="FFFFFF"/>
        <w:suppressAutoHyphens w:val="0"/>
        <w:spacing w:before="75" w:after="75"/>
        <w:ind w:left="495"/>
        <w:rPr>
          <w:rFonts w:asciiTheme="minorHAnsi" w:eastAsia="Times New Roman" w:hAnsiTheme="minorHAnsi" w:cs="Helvetica"/>
          <w:color w:val="575757"/>
          <w:szCs w:val="24"/>
        </w:rPr>
      </w:pPr>
      <w:hyperlink r:id="rId11" w:anchor="7" w:history="1">
        <w:r w:rsidR="006D456E">
          <w:rPr>
            <w:rFonts w:asciiTheme="minorHAnsi" w:eastAsia="Times New Roman" w:hAnsiTheme="minorHAnsi" w:cs="Helvetica"/>
            <w:color w:val="CD3333"/>
            <w:szCs w:val="24"/>
            <w:u w:val="single"/>
            <w:lang w:val="bg-BG"/>
          </w:rPr>
          <w:t>Застрахователни договори</w:t>
        </w:r>
      </w:hyperlink>
    </w:p>
    <w:p w:rsidR="00865B41" w:rsidRPr="006D456E" w:rsidRDefault="006D456E" w:rsidP="00865B41">
      <w:pPr>
        <w:widowControl/>
        <w:shd w:val="clear" w:color="auto" w:fill="F6F6F6"/>
        <w:suppressAutoHyphens w:val="0"/>
        <w:spacing w:before="225" w:after="150"/>
        <w:outlineLvl w:val="2"/>
        <w:rPr>
          <w:rFonts w:asciiTheme="minorHAnsi" w:eastAsia="Times New Roman" w:hAnsiTheme="minorHAnsi" w:cs="Helvetica"/>
          <w:b/>
          <w:bCs/>
          <w:color w:val="333333"/>
          <w:szCs w:val="24"/>
        </w:rPr>
      </w:pPr>
      <w:r w:rsidRPr="00001E74">
        <w:rPr>
          <w:rFonts w:asciiTheme="minorHAnsi" w:eastAsia="Times New Roman" w:hAnsiTheme="minorHAnsi" w:cs="Helvetica"/>
          <w:b/>
          <w:bCs/>
          <w:color w:val="333333"/>
          <w:szCs w:val="24"/>
          <w:lang w:val="bg-BG"/>
        </w:rPr>
        <w:t>Допълнителна информация</w:t>
      </w:r>
    </w:p>
    <w:p w:rsidR="00865B41" w:rsidRPr="006D456E" w:rsidRDefault="006D456E" w:rsidP="00865B41">
      <w:pPr>
        <w:widowControl/>
        <w:shd w:val="clear" w:color="auto" w:fill="F6F6F6"/>
        <w:suppressAutoHyphens w:val="0"/>
        <w:spacing w:after="300"/>
        <w:rPr>
          <w:rFonts w:asciiTheme="minorHAnsi" w:eastAsia="Times New Roman" w:hAnsiTheme="minorHAnsi" w:cs="Helvetica"/>
          <w:color w:val="575757"/>
          <w:szCs w:val="24"/>
        </w:rPr>
      </w:pPr>
      <w:r w:rsidRPr="00001E74">
        <w:rPr>
          <w:rFonts w:asciiTheme="minorHAnsi" w:eastAsia="Times New Roman" w:hAnsiTheme="minorHAnsi" w:cs="Helvetica"/>
          <w:color w:val="575757"/>
          <w:szCs w:val="24"/>
          <w:lang w:val="bg-BG"/>
        </w:rPr>
        <w:t>Предстоящи заседания на Съвета</w:t>
      </w:r>
      <w:r w:rsidR="00865B41" w:rsidRPr="006D456E">
        <w:rPr>
          <w:rFonts w:asciiTheme="minorHAnsi" w:eastAsia="Times New Roman" w:hAnsiTheme="minorHAnsi" w:cs="Helvetica"/>
          <w:color w:val="575757"/>
          <w:szCs w:val="24"/>
        </w:rPr>
        <w:t>:</w:t>
      </w:r>
    </w:p>
    <w:p w:rsidR="00865B41" w:rsidRPr="006D456E" w:rsidRDefault="00865B41" w:rsidP="00865B41">
      <w:pPr>
        <w:widowControl/>
        <w:numPr>
          <w:ilvl w:val="0"/>
          <w:numId w:val="2"/>
        </w:numPr>
        <w:shd w:val="clear" w:color="auto" w:fill="F6F6F6"/>
        <w:suppressAutoHyphens w:val="0"/>
        <w:spacing w:before="75" w:after="75"/>
        <w:ind w:left="495"/>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xml:space="preserve">18–22 </w:t>
      </w:r>
      <w:r w:rsidR="006D456E">
        <w:rPr>
          <w:rFonts w:asciiTheme="minorHAnsi" w:eastAsia="Times New Roman" w:hAnsiTheme="minorHAnsi" w:cs="Helvetica"/>
          <w:color w:val="575757"/>
          <w:szCs w:val="24"/>
          <w:lang w:val="bg-BG"/>
        </w:rPr>
        <w:t>юни</w:t>
      </w:r>
      <w:r w:rsidRPr="006D456E">
        <w:rPr>
          <w:rFonts w:asciiTheme="minorHAnsi" w:eastAsia="Times New Roman" w:hAnsiTheme="minorHAnsi" w:cs="Helvetica"/>
          <w:color w:val="575757"/>
          <w:szCs w:val="24"/>
        </w:rPr>
        <w:t xml:space="preserve"> 2018</w:t>
      </w:r>
      <w:r w:rsidR="006D456E">
        <w:rPr>
          <w:rFonts w:asciiTheme="minorHAnsi" w:eastAsia="Times New Roman" w:hAnsiTheme="minorHAnsi" w:cs="Helvetica"/>
          <w:color w:val="575757"/>
          <w:szCs w:val="24"/>
          <w:lang w:val="bg-BG"/>
        </w:rPr>
        <w:t xml:space="preserve"> г.</w:t>
      </w:r>
    </w:p>
    <w:p w:rsidR="00865B41" w:rsidRPr="006D456E" w:rsidRDefault="00865B41" w:rsidP="00865B41">
      <w:pPr>
        <w:widowControl/>
        <w:numPr>
          <w:ilvl w:val="0"/>
          <w:numId w:val="2"/>
        </w:numPr>
        <w:shd w:val="clear" w:color="auto" w:fill="F6F6F6"/>
        <w:suppressAutoHyphens w:val="0"/>
        <w:spacing w:before="75" w:after="75"/>
        <w:ind w:left="495"/>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xml:space="preserve">16–20 </w:t>
      </w:r>
      <w:r w:rsidR="006D456E">
        <w:rPr>
          <w:rFonts w:asciiTheme="minorHAnsi" w:eastAsia="Times New Roman" w:hAnsiTheme="minorHAnsi" w:cs="Helvetica"/>
          <w:color w:val="575757"/>
          <w:szCs w:val="24"/>
          <w:lang w:val="bg-BG"/>
        </w:rPr>
        <w:t>юли</w:t>
      </w:r>
      <w:r w:rsidRPr="006D456E">
        <w:rPr>
          <w:rFonts w:asciiTheme="minorHAnsi" w:eastAsia="Times New Roman" w:hAnsiTheme="minorHAnsi" w:cs="Helvetica"/>
          <w:color w:val="575757"/>
          <w:szCs w:val="24"/>
        </w:rPr>
        <w:t xml:space="preserve"> 2018</w:t>
      </w:r>
      <w:r w:rsidR="006D456E">
        <w:rPr>
          <w:rFonts w:asciiTheme="minorHAnsi" w:eastAsia="Times New Roman" w:hAnsiTheme="minorHAnsi" w:cs="Helvetica"/>
          <w:color w:val="575757"/>
          <w:szCs w:val="24"/>
          <w:lang w:val="bg-BG"/>
        </w:rPr>
        <w:t xml:space="preserve"> г.</w:t>
      </w:r>
    </w:p>
    <w:p w:rsidR="00865B41" w:rsidRPr="006D456E" w:rsidRDefault="00865B41" w:rsidP="00865B41">
      <w:pPr>
        <w:widowControl/>
        <w:numPr>
          <w:ilvl w:val="0"/>
          <w:numId w:val="2"/>
        </w:numPr>
        <w:shd w:val="clear" w:color="auto" w:fill="F6F6F6"/>
        <w:suppressAutoHyphens w:val="0"/>
        <w:spacing w:before="75" w:after="75"/>
        <w:ind w:left="495"/>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xml:space="preserve">17–21 </w:t>
      </w:r>
      <w:r w:rsidR="006D456E">
        <w:rPr>
          <w:rFonts w:asciiTheme="minorHAnsi" w:eastAsia="Times New Roman" w:hAnsiTheme="minorHAnsi" w:cs="Helvetica"/>
          <w:color w:val="575757"/>
          <w:szCs w:val="24"/>
          <w:lang w:val="bg-BG"/>
        </w:rPr>
        <w:t>септември</w:t>
      </w:r>
      <w:r w:rsidRPr="006D456E">
        <w:rPr>
          <w:rFonts w:asciiTheme="minorHAnsi" w:eastAsia="Times New Roman" w:hAnsiTheme="minorHAnsi" w:cs="Helvetica"/>
          <w:color w:val="575757"/>
          <w:szCs w:val="24"/>
        </w:rPr>
        <w:t xml:space="preserve"> 2018</w:t>
      </w:r>
      <w:r w:rsidR="006D456E">
        <w:rPr>
          <w:rFonts w:asciiTheme="minorHAnsi" w:eastAsia="Times New Roman" w:hAnsiTheme="minorHAnsi" w:cs="Helvetica"/>
          <w:color w:val="575757"/>
          <w:szCs w:val="24"/>
          <w:lang w:val="bg-BG"/>
        </w:rPr>
        <w:t xml:space="preserve"> г.</w:t>
      </w:r>
    </w:p>
    <w:p w:rsidR="00865B41" w:rsidRPr="006D456E" w:rsidRDefault="00D54546"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1" w:name="1"/>
      <w:r>
        <w:rPr>
          <w:rFonts w:asciiTheme="minorHAnsi" w:eastAsia="Times New Roman" w:hAnsiTheme="minorHAnsi" w:cs="Helvetica"/>
          <w:b/>
          <w:bCs/>
          <w:color w:val="CD3333"/>
          <w:sz w:val="34"/>
          <w:szCs w:val="34"/>
          <w:lang w:val="bg-BG"/>
        </w:rPr>
        <w:t>Основни финансови отчети</w:t>
      </w:r>
      <w:r w:rsidR="00865B41" w:rsidRPr="006D456E">
        <w:rPr>
          <w:rFonts w:asciiTheme="minorHAnsi" w:eastAsia="Times New Roman" w:hAnsiTheme="minorHAnsi" w:cs="Helvetica"/>
          <w:b/>
          <w:bCs/>
          <w:color w:val="CD3333"/>
          <w:sz w:val="34"/>
          <w:szCs w:val="34"/>
        </w:rPr>
        <w:t xml:space="preserve"> (</w:t>
      </w:r>
      <w:r w:rsidR="00A45D01">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21)</w:t>
      </w:r>
      <w:bookmarkEnd w:id="1"/>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22 май 2018 г. Съветът проведе заседание, за да обсъди</w:t>
      </w:r>
      <w:r w:rsidR="00865B41" w:rsidRPr="006D456E">
        <w:rPr>
          <w:rFonts w:asciiTheme="minorHAnsi" w:eastAsia="Times New Roman" w:hAnsiTheme="minorHAnsi" w:cs="Helvetica"/>
          <w:color w:val="575757"/>
          <w:szCs w:val="24"/>
        </w:rPr>
        <w:t>:</w:t>
      </w:r>
    </w:p>
    <w:p w:rsidR="00865B41" w:rsidRPr="006D456E" w:rsidRDefault="003A3054" w:rsidP="00865B41">
      <w:pPr>
        <w:widowControl/>
        <w:numPr>
          <w:ilvl w:val="0"/>
          <w:numId w:val="3"/>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lastRenderedPageBreak/>
        <w:t>Обобщение на резултатите от проведено от екипа проучване относно изискванията за агрегиране и дезагрегиране в различни юрисдикции</w:t>
      </w:r>
      <w:r w:rsidR="00865B41" w:rsidRPr="006D456E">
        <w:rPr>
          <w:rFonts w:asciiTheme="minorHAnsi" w:eastAsia="Times New Roman" w:hAnsiTheme="minorHAnsi" w:cs="Helvetica"/>
          <w:color w:val="575757"/>
          <w:szCs w:val="24"/>
        </w:rPr>
        <w:t>;</w:t>
      </w:r>
    </w:p>
    <w:p w:rsidR="00865B41" w:rsidRPr="006D456E" w:rsidRDefault="003A3054" w:rsidP="00865B41">
      <w:pPr>
        <w:widowControl/>
        <w:numPr>
          <w:ilvl w:val="0"/>
          <w:numId w:val="3"/>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Допълнителни предложения относно подобряване нивото на агрегиране и дезагрегиране на позиции на отделни редове в основните финансови отчети и в пояснителните приложения</w:t>
      </w:r>
      <w:r w:rsidR="00865B41" w:rsidRPr="006D456E">
        <w:rPr>
          <w:rFonts w:asciiTheme="minorHAnsi" w:eastAsia="Times New Roman" w:hAnsiTheme="minorHAnsi" w:cs="Helvetica"/>
          <w:color w:val="575757"/>
          <w:szCs w:val="24"/>
        </w:rPr>
        <w:t>;</w:t>
      </w:r>
    </w:p>
    <w:p w:rsidR="00865B41" w:rsidRPr="006D456E" w:rsidRDefault="003A3054" w:rsidP="00865B41">
      <w:pPr>
        <w:widowControl/>
        <w:numPr>
          <w:ilvl w:val="0"/>
          <w:numId w:val="3"/>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Анализ на разходите по функция и по същност</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w:t>
      </w:r>
    </w:p>
    <w:p w:rsidR="00865B41" w:rsidRPr="006D456E" w:rsidRDefault="003A3054" w:rsidP="00865B41">
      <w:pPr>
        <w:widowControl/>
        <w:numPr>
          <w:ilvl w:val="0"/>
          <w:numId w:val="3"/>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Неразрешени въпроси във връзка с използваните от ръководството оценки на резултатите от дейността и коригирана</w:t>
      </w:r>
      <w:r w:rsidR="00EF09FC">
        <w:rPr>
          <w:rFonts w:asciiTheme="minorHAnsi" w:eastAsia="Times New Roman" w:hAnsiTheme="minorHAnsi" w:cs="Helvetica"/>
          <w:color w:val="575757"/>
          <w:szCs w:val="24"/>
          <w:lang w:val="bg-BG"/>
        </w:rPr>
        <w:t>та</w:t>
      </w:r>
      <w:r>
        <w:rPr>
          <w:rFonts w:asciiTheme="minorHAnsi" w:eastAsia="Times New Roman" w:hAnsiTheme="minorHAnsi" w:cs="Helvetica"/>
          <w:color w:val="575757"/>
          <w:szCs w:val="24"/>
          <w:lang w:val="bg-BG"/>
        </w:rPr>
        <w:t xml:space="preserve"> печалба на акция</w:t>
      </w:r>
      <w:r w:rsidR="00865B41" w:rsidRPr="006D456E">
        <w:rPr>
          <w:rFonts w:asciiTheme="minorHAnsi" w:eastAsia="Times New Roman" w:hAnsiTheme="minorHAnsi" w:cs="Helvetica"/>
          <w:color w:val="575757"/>
          <w:szCs w:val="24"/>
        </w:rPr>
        <w:t>.</w:t>
      </w:r>
    </w:p>
    <w:p w:rsidR="00865B41" w:rsidRPr="006D456E" w:rsidRDefault="00C07C63" w:rsidP="00865B41">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sidRPr="00C07C63">
        <w:rPr>
          <w:rFonts w:asciiTheme="minorHAnsi" w:eastAsia="Times New Roman" w:hAnsiTheme="minorHAnsi" w:cs="Helvetica"/>
          <w:b/>
          <w:bCs/>
          <w:i/>
          <w:iCs/>
          <w:color w:val="333333"/>
          <w:szCs w:val="24"/>
          <w:lang w:val="bg-BG"/>
        </w:rPr>
        <w:t xml:space="preserve">Допълнителни предложения относно </w:t>
      </w:r>
      <w:r>
        <w:rPr>
          <w:rFonts w:asciiTheme="minorHAnsi" w:eastAsia="Times New Roman" w:hAnsiTheme="minorHAnsi" w:cs="Helvetica"/>
          <w:b/>
          <w:bCs/>
          <w:i/>
          <w:iCs/>
          <w:color w:val="333333"/>
          <w:szCs w:val="24"/>
          <w:lang w:val="bg-BG"/>
        </w:rPr>
        <w:t xml:space="preserve">агрегиране и дезагрегиране </w:t>
      </w:r>
      <w:r w:rsidR="00865B41" w:rsidRPr="006D456E">
        <w:rPr>
          <w:rFonts w:asciiTheme="minorHAnsi" w:eastAsia="Times New Roman" w:hAnsiTheme="minorHAnsi" w:cs="Helvetica"/>
          <w:b/>
          <w:bCs/>
          <w:color w:val="333333"/>
          <w:szCs w:val="24"/>
        </w:rPr>
        <w:t>(</w:t>
      </w:r>
      <w:r w:rsidR="00A45D01">
        <w:rPr>
          <w:rFonts w:asciiTheme="minorHAnsi" w:eastAsia="Times New Roman" w:hAnsiTheme="minorHAnsi" w:cs="Helvetica"/>
          <w:b/>
          <w:bCs/>
          <w:color w:val="333333"/>
          <w:szCs w:val="24"/>
        </w:rPr>
        <w:t>Документ по програмата</w:t>
      </w:r>
      <w:r w:rsidR="00865B41" w:rsidRPr="006D456E">
        <w:rPr>
          <w:rFonts w:asciiTheme="minorHAnsi" w:eastAsia="Times New Roman" w:hAnsiTheme="minorHAnsi" w:cs="Helvetica"/>
          <w:b/>
          <w:bCs/>
          <w:color w:val="333333"/>
          <w:szCs w:val="24"/>
        </w:rPr>
        <w:t xml:space="preserve"> 21A)</w:t>
      </w:r>
    </w:p>
    <w:p w:rsidR="00865B41" w:rsidRPr="006D456E" w:rsidRDefault="00993640"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обсъди направеното от екипа предложение за консолидиране на характеристиките на агрегирането и дезагрегирането, посочени в</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w:t>
      </w:r>
      <w:r>
        <w:rPr>
          <w:rFonts w:asciiTheme="minorHAnsi" w:eastAsia="Times New Roman" w:hAnsiTheme="minorHAnsi" w:cs="Helvetica"/>
          <w:color w:val="575757"/>
          <w:szCs w:val="24"/>
          <w:lang w:val="bg-BG"/>
        </w:rPr>
        <w:t xml:space="preserve"> </w:t>
      </w:r>
      <w:r>
        <w:rPr>
          <w:rFonts w:asciiTheme="minorHAnsi" w:eastAsia="Times New Roman" w:hAnsiTheme="minorHAnsi" w:cs="Helvetica"/>
          <w:i/>
          <w:iCs/>
          <w:color w:val="575757"/>
          <w:szCs w:val="24"/>
          <w:lang w:val="bg-BG"/>
        </w:rPr>
        <w:t>Представяне на финансови отчети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 други стандарти, в един единствен списък</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lang w:val="bg-BG"/>
        </w:rPr>
        <w:t>Седем от четиринадесетте членове на Съвета изразиха съгласие, а седем – несъгласие с направеното от екипа предложение</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Съответно</w:t>
      </w:r>
      <w:r w:rsidR="00865B41" w:rsidRPr="006D456E">
        <w:rPr>
          <w:rFonts w:asciiTheme="minorHAnsi" w:eastAsia="Times New Roman" w:hAnsiTheme="minorHAnsi" w:cs="Helvetica"/>
          <w:color w:val="575757"/>
          <w:szCs w:val="24"/>
        </w:rPr>
        <w:t xml:space="preserve">, </w:t>
      </w:r>
      <w:r w:rsidR="007636C3">
        <w:rPr>
          <w:rFonts w:asciiTheme="minorHAnsi" w:eastAsia="Times New Roman" w:hAnsiTheme="minorHAnsi" w:cs="Helvetica"/>
          <w:color w:val="575757"/>
          <w:szCs w:val="24"/>
          <w:lang w:val="bg-BG"/>
        </w:rPr>
        <w:t>Съветът реши в порядък на работна хипотеза</w:t>
      </w:r>
      <w:r w:rsidR="007636C3"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да не разработва един единствен списък с</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характеристики на агрегирането и дезагрегирането</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Вместо това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Съветът поиска от екипа да продължи работата си по предложенията за подобряване на дезагрегирането във финансовите отчети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което може да включва илюстриране как биха могли да бъдат използвани различни характеристики за агрегиране или дезагрегиране на финансова информация</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 xml:space="preserve">Съветът поиска от екипа да поясни, че </w:t>
      </w:r>
      <w:r w:rsidR="002737AA">
        <w:rPr>
          <w:rFonts w:asciiTheme="minorHAnsi" w:eastAsia="Times New Roman" w:hAnsiTheme="minorHAnsi" w:cs="Helvetica"/>
          <w:color w:val="575757"/>
          <w:szCs w:val="24"/>
          <w:lang w:val="bg-BG"/>
        </w:rPr>
        <w:t>разработваните</w:t>
      </w:r>
      <w:r>
        <w:rPr>
          <w:rFonts w:asciiTheme="minorHAnsi" w:eastAsia="Times New Roman" w:hAnsiTheme="minorHAnsi" w:cs="Helvetica"/>
          <w:color w:val="575757"/>
          <w:szCs w:val="24"/>
          <w:lang w:val="bg-BG"/>
        </w:rPr>
        <w:t xml:space="preserve"> в това отношение допълнителни насоки няма да са с по-голяма правна сила или да отменят</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специфични изисквания за агрегиране или дезагрегиране</w:t>
      </w:r>
      <w:r w:rsidR="002737AA">
        <w:rPr>
          <w:rFonts w:asciiTheme="minorHAnsi" w:eastAsia="Times New Roman" w:hAnsiTheme="minorHAnsi" w:cs="Helvetica"/>
          <w:color w:val="575757"/>
          <w:szCs w:val="24"/>
          <w:lang w:val="bg-BG"/>
        </w:rPr>
        <w:t>, съдържащи се в</w:t>
      </w:r>
      <w:r>
        <w:rPr>
          <w:rFonts w:asciiTheme="minorHAnsi" w:eastAsia="Times New Roman" w:hAnsiTheme="minorHAnsi" w:cs="Helvetica"/>
          <w:color w:val="575757"/>
          <w:szCs w:val="24"/>
          <w:lang w:val="bg-BG"/>
        </w:rPr>
        <w:t xml:space="preserve"> отделни МСФО стандарти</w:t>
      </w:r>
      <w:r w:rsidR="00865B41" w:rsidRPr="006D456E">
        <w:rPr>
          <w:rFonts w:asciiTheme="minorHAnsi" w:eastAsia="Times New Roman" w:hAnsiTheme="minorHAnsi" w:cs="Helvetica"/>
          <w:color w:val="575757"/>
          <w:szCs w:val="24"/>
        </w:rPr>
        <w:t>.</w:t>
      </w:r>
    </w:p>
    <w:p w:rsidR="00865B41" w:rsidRPr="006D456E" w:rsidRDefault="00B62095"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обсъди също така дали да въведе прагове или оборими предположения за агрегиране или дезагрегиране на финансова информация</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lang w:val="bg-BG"/>
        </w:rPr>
        <w:t xml:space="preserve">Седем от четиринадесетте членове на Съвета изразиха съгласие, а седем – несъгласие с </w:t>
      </w:r>
      <w:r w:rsidR="00CD31DF">
        <w:rPr>
          <w:rFonts w:asciiTheme="minorHAnsi" w:eastAsia="Times New Roman" w:hAnsiTheme="minorHAnsi" w:cs="Helvetica"/>
          <w:color w:val="575757"/>
          <w:szCs w:val="24"/>
          <w:lang w:val="bg-BG"/>
        </w:rPr>
        <w:t>въвеждането на подобни прагове или оборими предположения</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Съответно</w:t>
      </w:r>
      <w:r w:rsidR="00865B41" w:rsidRPr="006D456E">
        <w:rPr>
          <w:rFonts w:asciiTheme="minorHAnsi" w:eastAsia="Times New Roman" w:hAnsiTheme="minorHAnsi" w:cs="Helvetica"/>
          <w:color w:val="575757"/>
          <w:szCs w:val="24"/>
        </w:rPr>
        <w:t xml:space="preserve">, </w:t>
      </w:r>
      <w:r w:rsidR="007636C3">
        <w:rPr>
          <w:rFonts w:asciiTheme="minorHAnsi" w:eastAsia="Times New Roman" w:hAnsiTheme="minorHAnsi" w:cs="Helvetica"/>
          <w:color w:val="575757"/>
          <w:szCs w:val="24"/>
          <w:lang w:val="bg-BG"/>
        </w:rPr>
        <w:t>Съветът реши в порядък на работна хипотеза</w:t>
      </w:r>
      <w:r w:rsidR="007636C3"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да не въвежда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прагове или оборими предположения за агрегиране или дезагрегиране на финансова информация</w:t>
      </w:r>
      <w:r w:rsidR="00865B41" w:rsidRPr="006D456E">
        <w:rPr>
          <w:rFonts w:asciiTheme="minorHAnsi" w:eastAsia="Times New Roman" w:hAnsiTheme="minorHAnsi" w:cs="Helvetica"/>
          <w:color w:val="575757"/>
          <w:szCs w:val="24"/>
        </w:rPr>
        <w:t>.</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в порядък на работна хипотеза</w:t>
      </w:r>
      <w:r w:rsidR="00865B41" w:rsidRPr="006D456E">
        <w:rPr>
          <w:rFonts w:asciiTheme="minorHAnsi" w:eastAsia="Times New Roman" w:hAnsiTheme="minorHAnsi" w:cs="Helvetica"/>
          <w:color w:val="575757"/>
          <w:szCs w:val="24"/>
        </w:rPr>
        <w:t>:</w:t>
      </w:r>
    </w:p>
    <w:p w:rsidR="00865B41" w:rsidRPr="006D456E" w:rsidRDefault="008C43C4" w:rsidP="00865B41">
      <w:pPr>
        <w:widowControl/>
        <w:numPr>
          <w:ilvl w:val="0"/>
          <w:numId w:val="4"/>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Да не разработва примери за дезагрегиране на групи позиции, за да илюстрира кога не е приемливо да се оповестяват големи остатъчни салда или „други” салда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Десет от четиринадесетте членове на Съвета изразиха съгласие, а четирима – несъгласие с това решение</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Съветът поиска от екипа да проучи дали биха могли да бъдат разработени базирани на принципи насоки, с оглед насърчаване на допълнителното дезагрегиране на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големи остатъчни салда или „други” салда</w:t>
      </w:r>
      <w:r w:rsidR="00865B41" w:rsidRPr="006D456E">
        <w:rPr>
          <w:rFonts w:asciiTheme="minorHAnsi" w:eastAsia="Times New Roman" w:hAnsiTheme="minorHAnsi" w:cs="Helvetica"/>
          <w:color w:val="575757"/>
          <w:szCs w:val="24"/>
        </w:rPr>
        <w:t>.</w:t>
      </w:r>
    </w:p>
    <w:p w:rsidR="00865B41" w:rsidRPr="006D456E" w:rsidRDefault="008C43C4" w:rsidP="00865B41">
      <w:pPr>
        <w:widowControl/>
        <w:numPr>
          <w:ilvl w:val="0"/>
          <w:numId w:val="4"/>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Да включи принцип за определяне мястото на финансовата информация - в основните финансови отчети или в пояснителните приложения, който да се базира на </w:t>
      </w:r>
      <w:r>
        <w:rPr>
          <w:rFonts w:asciiTheme="minorHAnsi" w:eastAsia="Times New Roman" w:hAnsiTheme="minorHAnsi" w:cs="Helvetica"/>
          <w:color w:val="575757"/>
          <w:szCs w:val="24"/>
          <w:lang w:val="bg-BG"/>
        </w:rPr>
        <w:lastRenderedPageBreak/>
        <w:t xml:space="preserve">ролята на основните финансови отчети и ролята на пояснителните приложения, предложени в Документа за обсъждане </w:t>
      </w:r>
      <w:r w:rsidR="00865B41" w:rsidRPr="006D456E">
        <w:rPr>
          <w:rFonts w:asciiTheme="minorHAnsi" w:eastAsia="Times New Roman" w:hAnsiTheme="minorHAnsi" w:cs="Helvetica"/>
          <w:color w:val="575757"/>
          <w:szCs w:val="24"/>
        </w:rPr>
        <w:t> </w:t>
      </w:r>
      <w:r>
        <w:rPr>
          <w:rFonts w:asciiTheme="minorHAnsi" w:eastAsia="Times New Roman" w:hAnsiTheme="minorHAnsi" w:cs="Helvetica"/>
          <w:i/>
          <w:iCs/>
          <w:color w:val="575757"/>
          <w:szCs w:val="24"/>
          <w:lang w:val="bg-BG"/>
        </w:rPr>
        <w:t>Инициатива за оповестяване – принципи на оповестяването</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Този принцип няма да е с по-голяма правна сила или да отменя специфичните изисквания на</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 </w:t>
      </w:r>
      <w:r>
        <w:rPr>
          <w:rFonts w:asciiTheme="minorHAnsi" w:eastAsia="Times New Roman" w:hAnsiTheme="minorHAnsi" w:cs="Helvetica"/>
          <w:color w:val="575757"/>
          <w:szCs w:val="24"/>
          <w:lang w:val="bg-BG"/>
        </w:rPr>
        <w:t>по отношение представянето на минимален брой позиции на отделни редове и междинни сборове в основните финансови отчети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Предприятието следва също така да прилага този принцип, когато даден стандарт позволява на предприятията да определят дали да предоставят финансова информация в основните финансови отчети или в пояснителните приложения</w:t>
      </w:r>
      <w:r w:rsidR="00865B41" w:rsidRPr="006D456E">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Всичките</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четиринадесет</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членове</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на</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Съвета</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изразиха</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съгласие</w:t>
      </w:r>
      <w:proofErr w:type="spellEnd"/>
      <w:r w:rsidR="004C2ED9">
        <w:rPr>
          <w:rFonts w:asciiTheme="minorHAnsi" w:eastAsia="Times New Roman" w:hAnsiTheme="minorHAnsi" w:cs="Helvetica"/>
          <w:color w:val="575757"/>
          <w:szCs w:val="24"/>
        </w:rPr>
        <w:t xml:space="preserve"> с </w:t>
      </w:r>
      <w:proofErr w:type="spellStart"/>
      <w:r w:rsidR="004C2ED9">
        <w:rPr>
          <w:rFonts w:asciiTheme="minorHAnsi" w:eastAsia="Times New Roman" w:hAnsiTheme="minorHAnsi" w:cs="Helvetica"/>
          <w:color w:val="575757"/>
          <w:szCs w:val="24"/>
        </w:rPr>
        <w:t>това</w:t>
      </w:r>
      <w:proofErr w:type="spellEnd"/>
      <w:r w:rsidR="004C2ED9">
        <w:rPr>
          <w:rFonts w:asciiTheme="minorHAnsi" w:eastAsia="Times New Roman" w:hAnsiTheme="minorHAnsi" w:cs="Helvetica"/>
          <w:color w:val="575757"/>
          <w:szCs w:val="24"/>
        </w:rPr>
        <w:t xml:space="preserve"> </w:t>
      </w:r>
      <w:proofErr w:type="spellStart"/>
      <w:r w:rsidR="004C2ED9">
        <w:rPr>
          <w:rFonts w:asciiTheme="minorHAnsi" w:eastAsia="Times New Roman" w:hAnsiTheme="minorHAnsi" w:cs="Helvetica"/>
          <w:color w:val="575757"/>
          <w:szCs w:val="24"/>
        </w:rPr>
        <w:t>решение</w:t>
      </w:r>
      <w:proofErr w:type="spellEnd"/>
      <w:r w:rsidR="00865B41" w:rsidRPr="006D456E">
        <w:rPr>
          <w:rFonts w:asciiTheme="minorHAnsi" w:eastAsia="Times New Roman" w:hAnsiTheme="minorHAnsi" w:cs="Helvetica"/>
          <w:color w:val="575757"/>
          <w:szCs w:val="24"/>
        </w:rPr>
        <w:t>.</w:t>
      </w:r>
    </w:p>
    <w:p w:rsidR="00865B41" w:rsidRPr="006D456E" w:rsidRDefault="00C07C63" w:rsidP="00865B41">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sidRPr="00C07C63">
        <w:rPr>
          <w:rFonts w:asciiTheme="minorHAnsi" w:eastAsia="Times New Roman" w:hAnsiTheme="minorHAnsi" w:cs="Helvetica"/>
          <w:b/>
          <w:bCs/>
          <w:i/>
          <w:iCs/>
          <w:color w:val="333333"/>
          <w:szCs w:val="24"/>
          <w:lang w:val="bg-BG"/>
        </w:rPr>
        <w:t>Анализ на разходите по функция и по същност</w:t>
      </w:r>
      <w:r w:rsidRPr="00C07C63">
        <w:rPr>
          <w:rFonts w:asciiTheme="minorHAnsi" w:eastAsia="Times New Roman" w:hAnsiTheme="minorHAnsi" w:cs="Helvetica"/>
          <w:b/>
          <w:bCs/>
          <w:i/>
          <w:iCs/>
          <w:color w:val="333333"/>
          <w:szCs w:val="24"/>
        </w:rPr>
        <w:t xml:space="preserve"> </w:t>
      </w:r>
      <w:r w:rsidR="00865B41" w:rsidRPr="006D456E">
        <w:rPr>
          <w:rFonts w:asciiTheme="minorHAnsi" w:eastAsia="Times New Roman" w:hAnsiTheme="minorHAnsi" w:cs="Helvetica"/>
          <w:b/>
          <w:bCs/>
          <w:color w:val="333333"/>
          <w:szCs w:val="24"/>
        </w:rPr>
        <w:t>(</w:t>
      </w:r>
      <w:r w:rsidR="00A45D01">
        <w:rPr>
          <w:rFonts w:asciiTheme="minorHAnsi" w:eastAsia="Times New Roman" w:hAnsiTheme="minorHAnsi" w:cs="Helvetica"/>
          <w:b/>
          <w:bCs/>
          <w:color w:val="333333"/>
          <w:szCs w:val="24"/>
        </w:rPr>
        <w:t>Документ по програмата</w:t>
      </w:r>
      <w:r w:rsidR="00865B41" w:rsidRPr="006D456E">
        <w:rPr>
          <w:rFonts w:asciiTheme="minorHAnsi" w:eastAsia="Times New Roman" w:hAnsiTheme="minorHAnsi" w:cs="Helvetica"/>
          <w:b/>
          <w:bCs/>
          <w:color w:val="333333"/>
          <w:szCs w:val="24"/>
        </w:rPr>
        <w:t xml:space="preserve"> 21</w:t>
      </w:r>
      <w:r>
        <w:rPr>
          <w:rFonts w:asciiTheme="minorHAnsi" w:eastAsia="Times New Roman" w:hAnsiTheme="minorHAnsi" w:cs="Helvetica"/>
          <w:b/>
          <w:bCs/>
          <w:color w:val="333333"/>
          <w:szCs w:val="24"/>
          <w:lang w:val="bg-BG"/>
        </w:rPr>
        <w:t>Б</w:t>
      </w:r>
      <w:r w:rsidR="00865B41" w:rsidRPr="006D456E">
        <w:rPr>
          <w:rFonts w:asciiTheme="minorHAnsi" w:eastAsia="Times New Roman" w:hAnsiTheme="minorHAnsi" w:cs="Helvetica"/>
          <w:b/>
          <w:bCs/>
          <w:color w:val="333333"/>
          <w:szCs w:val="24"/>
        </w:rPr>
        <w:t>)</w:t>
      </w:r>
    </w:p>
    <w:p w:rsidR="00865B41" w:rsidRPr="006D456E" w:rsidRDefault="00CE61EE"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проведеното си през септември 2017 г. заседание Съветът обсъди предложения за подобряване анализа на разходите</w:t>
      </w:r>
      <w:r w:rsidR="00F46B70">
        <w:rPr>
          <w:rFonts w:asciiTheme="minorHAnsi" w:eastAsia="Times New Roman" w:hAnsiTheme="minorHAnsi" w:cs="Helvetica"/>
          <w:color w:val="575757"/>
          <w:szCs w:val="24"/>
          <w:lang w:val="bg-BG"/>
        </w:rPr>
        <w:t xml:space="preserve"> по функция и по същност, изискван от параграф</w:t>
      </w:r>
      <w:r w:rsidR="00865B41" w:rsidRPr="006D456E">
        <w:rPr>
          <w:rFonts w:asciiTheme="minorHAnsi" w:eastAsia="Times New Roman" w:hAnsiTheme="minorHAnsi" w:cs="Helvetica"/>
          <w:color w:val="575757"/>
          <w:szCs w:val="24"/>
        </w:rPr>
        <w:t xml:space="preserve"> 99 </w:t>
      </w:r>
      <w:r w:rsidR="00F46B70">
        <w:rPr>
          <w:rFonts w:asciiTheme="minorHAnsi" w:eastAsia="Times New Roman" w:hAnsiTheme="minorHAnsi" w:cs="Helvetica"/>
          <w:color w:val="575757"/>
          <w:szCs w:val="24"/>
          <w:lang w:val="bg-BG"/>
        </w:rPr>
        <w:t>от</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F46B70">
        <w:rPr>
          <w:rFonts w:asciiTheme="minorHAnsi" w:eastAsia="Times New Roman" w:hAnsiTheme="minorHAnsi" w:cs="Helvetica"/>
          <w:color w:val="575757"/>
          <w:szCs w:val="24"/>
          <w:lang w:val="bg-BG"/>
        </w:rPr>
        <w:t xml:space="preserve"> </w:t>
      </w:r>
      <w:r w:rsidR="00865B41" w:rsidRPr="006D456E">
        <w:rPr>
          <w:rFonts w:asciiTheme="minorHAnsi" w:eastAsia="Times New Roman" w:hAnsiTheme="minorHAnsi" w:cs="Helvetica"/>
          <w:color w:val="575757"/>
          <w:szCs w:val="24"/>
        </w:rPr>
        <w:t xml:space="preserve">1. </w:t>
      </w:r>
      <w:r w:rsidR="00A76BE9">
        <w:rPr>
          <w:rFonts w:asciiTheme="minorHAnsi" w:eastAsia="Times New Roman" w:hAnsiTheme="minorHAnsi" w:cs="Helvetica"/>
          <w:color w:val="575757"/>
          <w:szCs w:val="24"/>
          <w:lang w:val="bg-BG"/>
        </w:rPr>
        <w:t>На това заседание Съветът реши в порядък на работна хипотеза</w:t>
      </w:r>
      <w:r w:rsidR="00865B41" w:rsidRPr="006D456E">
        <w:rPr>
          <w:rFonts w:asciiTheme="minorHAnsi" w:eastAsia="Times New Roman" w:hAnsiTheme="minorHAnsi" w:cs="Helvetica"/>
          <w:color w:val="575757"/>
          <w:szCs w:val="24"/>
        </w:rPr>
        <w:t>:</w:t>
      </w:r>
    </w:p>
    <w:p w:rsidR="00865B41" w:rsidRPr="006D456E" w:rsidRDefault="0060763B" w:rsidP="00865B41">
      <w:pPr>
        <w:widowControl/>
        <w:numPr>
          <w:ilvl w:val="0"/>
          <w:numId w:val="5"/>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Да добави към изискванията в</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 </w:t>
      </w:r>
      <w:r>
        <w:rPr>
          <w:rFonts w:asciiTheme="minorHAnsi" w:eastAsia="Times New Roman" w:hAnsiTheme="minorHAnsi" w:cs="Helvetica"/>
          <w:color w:val="575757"/>
          <w:szCs w:val="24"/>
          <w:lang w:val="bg-BG"/>
        </w:rPr>
        <w:t>следните фактори, които да бъдат вземани под внимание при определяне дали методологията според функцията или методологията според същността на разходите предоставя най-полезна информация относно финансовите резултати от дейността</w:t>
      </w:r>
      <w:r w:rsidR="00865B41" w:rsidRPr="006D456E">
        <w:rPr>
          <w:rFonts w:asciiTheme="minorHAnsi" w:eastAsia="Times New Roman" w:hAnsiTheme="minorHAnsi" w:cs="Helvetica"/>
          <w:color w:val="575757"/>
          <w:szCs w:val="24"/>
        </w:rPr>
        <w:t>:</w:t>
      </w:r>
    </w:p>
    <w:p w:rsidR="00865B41" w:rsidRPr="006D456E" w:rsidRDefault="0060763B" w:rsidP="00865B41">
      <w:pPr>
        <w:widowControl/>
        <w:numPr>
          <w:ilvl w:val="1"/>
          <w:numId w:val="5"/>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Кой метод предоставя най-добра информация относно ключовите компоненти или основни фактори, определящи рентабилността</w:t>
      </w:r>
      <w:r w:rsidR="00865B41" w:rsidRPr="006D456E">
        <w:rPr>
          <w:rFonts w:asciiTheme="minorHAnsi" w:eastAsia="Times New Roman" w:hAnsiTheme="minorHAnsi" w:cs="Helvetica"/>
          <w:color w:val="575757"/>
          <w:szCs w:val="24"/>
        </w:rPr>
        <w:t>;</w:t>
      </w:r>
    </w:p>
    <w:p w:rsidR="00865B41" w:rsidRPr="006D456E" w:rsidRDefault="0060763B" w:rsidP="00865B41">
      <w:pPr>
        <w:widowControl/>
        <w:numPr>
          <w:ilvl w:val="1"/>
          <w:numId w:val="5"/>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Кой метод съответства най-тясно на начина, по който ръководството докладва във вътрешен порядък пред съвета на директорите или лицата, вземащи ключовите решения </w:t>
      </w:r>
      <w:r w:rsidR="007F2F8A">
        <w:rPr>
          <w:rFonts w:asciiTheme="minorHAnsi" w:eastAsia="Times New Roman" w:hAnsiTheme="minorHAnsi" w:cs="Helvetica"/>
          <w:color w:val="575757"/>
          <w:szCs w:val="24"/>
          <w:lang w:val="bg-BG"/>
        </w:rPr>
        <w:t>и на начина, по който предприятието се управлява</w:t>
      </w:r>
      <w:r w:rsidR="00865B41" w:rsidRPr="006D456E">
        <w:rPr>
          <w:rFonts w:asciiTheme="minorHAnsi" w:eastAsia="Times New Roman" w:hAnsiTheme="minorHAnsi" w:cs="Helvetica"/>
          <w:color w:val="575757"/>
          <w:szCs w:val="24"/>
        </w:rPr>
        <w:t>;</w:t>
      </w:r>
    </w:p>
    <w:p w:rsidR="00865B41" w:rsidRPr="006D456E" w:rsidRDefault="007F2F8A" w:rsidP="00865B41">
      <w:pPr>
        <w:widowControl/>
        <w:numPr>
          <w:ilvl w:val="1"/>
          <w:numId w:val="5"/>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Практиката в съответния отрасъл</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w:t>
      </w:r>
    </w:p>
    <w:p w:rsidR="00865B41" w:rsidRPr="006D456E" w:rsidRDefault="007F2F8A" w:rsidP="00865B41">
      <w:pPr>
        <w:widowControl/>
        <w:numPr>
          <w:ilvl w:val="1"/>
          <w:numId w:val="5"/>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Дали разпределянето на разходите според тяхната функция би било толкова </w:t>
      </w:r>
      <w:r w:rsidR="007732BA">
        <w:rPr>
          <w:rFonts w:asciiTheme="minorHAnsi" w:eastAsia="Times New Roman" w:hAnsiTheme="minorHAnsi" w:cs="Helvetica"/>
          <w:color w:val="575757"/>
          <w:szCs w:val="24"/>
          <w:lang w:val="bg-BG"/>
        </w:rPr>
        <w:t>произволно, спорно или случайно</w:t>
      </w:r>
      <w:r>
        <w:rPr>
          <w:rFonts w:asciiTheme="minorHAnsi" w:eastAsia="Times New Roman" w:hAnsiTheme="minorHAnsi" w:cs="Helvetica"/>
          <w:color w:val="575757"/>
          <w:szCs w:val="24"/>
          <w:lang w:val="bg-BG"/>
        </w:rPr>
        <w:t>, че не би предоставило достатъчно достоверно представяне на структурата на функциите на предприятието</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В такива случаи следва да се използва методът, основаващ се на същността на разхода</w:t>
      </w:r>
      <w:r w:rsidR="00865B41" w:rsidRPr="006D456E">
        <w:rPr>
          <w:rFonts w:asciiTheme="minorHAnsi" w:eastAsia="Times New Roman" w:hAnsiTheme="minorHAnsi" w:cs="Helvetica"/>
          <w:color w:val="575757"/>
          <w:szCs w:val="24"/>
        </w:rPr>
        <w:t>.</w:t>
      </w:r>
    </w:p>
    <w:p w:rsidR="00865B41" w:rsidRPr="006D456E" w:rsidRDefault="004C2ED9" w:rsidP="00865B41">
      <w:pPr>
        <w:widowControl/>
        <w:shd w:val="clear" w:color="auto" w:fill="FFFFFF"/>
        <w:suppressAutoHyphens w:val="0"/>
        <w:spacing w:after="300"/>
        <w:ind w:left="495"/>
        <w:rPr>
          <w:rFonts w:asciiTheme="minorHAnsi" w:eastAsia="Times New Roman" w:hAnsiTheme="minorHAnsi" w:cs="Helvetica"/>
          <w:color w:val="575757"/>
          <w:szCs w:val="24"/>
        </w:rPr>
      </w:pPr>
      <w:proofErr w:type="spellStart"/>
      <w:r>
        <w:rPr>
          <w:rFonts w:asciiTheme="minorHAnsi" w:eastAsia="Times New Roman" w:hAnsiTheme="minorHAnsi" w:cs="Helvetica"/>
          <w:color w:val="575757"/>
          <w:szCs w:val="24"/>
        </w:rPr>
        <w:t>Всичките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четиринадесет</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членове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на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Съвета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изразиха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съгласие</w:t>
      </w:r>
      <w:proofErr w:type="spellEnd"/>
      <w:r>
        <w:rPr>
          <w:rFonts w:asciiTheme="minorHAnsi" w:eastAsia="Times New Roman" w:hAnsiTheme="minorHAnsi" w:cs="Helvetica"/>
          <w:color w:val="575757"/>
          <w:szCs w:val="24"/>
        </w:rPr>
        <w:t xml:space="preserve"> с </w:t>
      </w:r>
      <w:proofErr w:type="spellStart"/>
      <w:r>
        <w:rPr>
          <w:rFonts w:asciiTheme="minorHAnsi" w:eastAsia="Times New Roman" w:hAnsiTheme="minorHAnsi" w:cs="Helvetica"/>
          <w:color w:val="575757"/>
          <w:szCs w:val="24"/>
        </w:rPr>
        <w:t>това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решение</w:t>
      </w:r>
      <w:proofErr w:type="spellEnd"/>
      <w:r w:rsidR="00865B41" w:rsidRPr="006D456E">
        <w:rPr>
          <w:rFonts w:asciiTheme="minorHAnsi" w:eastAsia="Times New Roman" w:hAnsiTheme="minorHAnsi" w:cs="Helvetica"/>
          <w:color w:val="575757"/>
          <w:szCs w:val="24"/>
        </w:rPr>
        <w:t>.</w:t>
      </w:r>
    </w:p>
    <w:p w:rsidR="00865B41" w:rsidRPr="003A71D4" w:rsidRDefault="0060763B" w:rsidP="003A71D4">
      <w:pPr>
        <w:pStyle w:val="ListParagraph"/>
        <w:widowControl/>
        <w:numPr>
          <w:ilvl w:val="0"/>
          <w:numId w:val="5"/>
        </w:numPr>
        <w:shd w:val="clear" w:color="auto" w:fill="FFFFFF"/>
        <w:tabs>
          <w:tab w:val="clear" w:pos="720"/>
          <w:tab w:val="num" w:pos="567"/>
        </w:tabs>
        <w:suppressAutoHyphens w:val="0"/>
        <w:spacing w:before="75" w:after="75"/>
        <w:ind w:left="567" w:hanging="42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Да изисква допълнителна информация относно същността на разхода, когато предприятието предоставя анализ на разходите с помощта на методологията, основаваща се на тяхната функция</w:t>
      </w:r>
      <w:r w:rsidR="00865B41" w:rsidRPr="003A71D4">
        <w:rPr>
          <w:rFonts w:asciiTheme="minorHAnsi" w:eastAsia="Times New Roman" w:hAnsiTheme="minorHAnsi" w:cs="Helvetica"/>
          <w:color w:val="575757"/>
          <w:szCs w:val="24"/>
        </w:rPr>
        <w:t>.</w:t>
      </w:r>
      <w:r>
        <w:rPr>
          <w:rFonts w:asciiTheme="minorHAnsi" w:eastAsia="Times New Roman" w:hAnsiTheme="minorHAnsi" w:cs="Helvetica"/>
          <w:color w:val="575757"/>
          <w:szCs w:val="24"/>
          <w:lang w:val="bg-BG"/>
        </w:rPr>
        <w:t xml:space="preserve"> Тази информация ще се предоставя на нивото на предприятието</w:t>
      </w:r>
      <w:r w:rsidR="00865B41" w:rsidRPr="003A71D4">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а не като разбивка на всеки представен функционален ред</w:t>
      </w:r>
      <w:r w:rsidR="00865B41" w:rsidRPr="003A71D4">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Десет от четиринадесетте членове на Съвета изразиха съгласие, а четирима – несъгласие с това решение</w:t>
      </w:r>
      <w:r w:rsidR="00865B41" w:rsidRPr="003A71D4">
        <w:rPr>
          <w:rFonts w:asciiTheme="minorHAnsi" w:eastAsia="Times New Roman" w:hAnsiTheme="minorHAnsi" w:cs="Helvetica"/>
          <w:color w:val="575757"/>
          <w:szCs w:val="24"/>
        </w:rPr>
        <w:t>.</w:t>
      </w:r>
    </w:p>
    <w:p w:rsidR="00865B41" w:rsidRPr="006D456E" w:rsidRDefault="00C07C63" w:rsidP="00865B41">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sidRPr="00C07C63">
        <w:rPr>
          <w:rFonts w:asciiTheme="minorHAnsi" w:eastAsia="Times New Roman" w:hAnsiTheme="minorHAnsi" w:cs="Helvetica"/>
          <w:b/>
          <w:bCs/>
          <w:i/>
          <w:iCs/>
          <w:color w:val="333333"/>
          <w:szCs w:val="24"/>
          <w:lang w:val="bg-BG"/>
        </w:rPr>
        <w:t>Неразрешени въпроси във връзка с използваните от ръководството оценки на резултатите от дейността и коригираната печалба на акция</w:t>
      </w:r>
      <w:r w:rsidRPr="00C07C63">
        <w:rPr>
          <w:rFonts w:asciiTheme="minorHAnsi" w:eastAsia="Times New Roman" w:hAnsiTheme="minorHAnsi" w:cs="Helvetica"/>
          <w:b/>
          <w:bCs/>
          <w:i/>
          <w:iCs/>
          <w:color w:val="333333"/>
          <w:szCs w:val="24"/>
        </w:rPr>
        <w:t xml:space="preserve"> </w:t>
      </w:r>
      <w:r w:rsidR="00865B41" w:rsidRPr="006D456E">
        <w:rPr>
          <w:rFonts w:asciiTheme="minorHAnsi" w:eastAsia="Times New Roman" w:hAnsiTheme="minorHAnsi" w:cs="Helvetica"/>
          <w:b/>
          <w:bCs/>
          <w:color w:val="333333"/>
          <w:szCs w:val="24"/>
        </w:rPr>
        <w:t>(</w:t>
      </w:r>
      <w:r w:rsidR="00A45D01">
        <w:rPr>
          <w:rFonts w:asciiTheme="minorHAnsi" w:eastAsia="Times New Roman" w:hAnsiTheme="minorHAnsi" w:cs="Helvetica"/>
          <w:b/>
          <w:bCs/>
          <w:color w:val="333333"/>
          <w:szCs w:val="24"/>
        </w:rPr>
        <w:t>Документ по програмата</w:t>
      </w:r>
      <w:r w:rsidR="00865B41" w:rsidRPr="006D456E">
        <w:rPr>
          <w:rFonts w:asciiTheme="minorHAnsi" w:eastAsia="Times New Roman" w:hAnsiTheme="minorHAnsi" w:cs="Helvetica"/>
          <w:b/>
          <w:bCs/>
          <w:color w:val="333333"/>
          <w:szCs w:val="24"/>
        </w:rPr>
        <w:t xml:space="preserve"> 21</w:t>
      </w:r>
      <w:r>
        <w:rPr>
          <w:rFonts w:asciiTheme="minorHAnsi" w:eastAsia="Times New Roman" w:hAnsiTheme="minorHAnsi" w:cs="Helvetica"/>
          <w:b/>
          <w:bCs/>
          <w:color w:val="333333"/>
          <w:szCs w:val="24"/>
          <w:lang w:val="bg-BG"/>
        </w:rPr>
        <w:t>В</w:t>
      </w:r>
      <w:r w:rsidR="00865B41" w:rsidRPr="006D456E">
        <w:rPr>
          <w:rFonts w:asciiTheme="minorHAnsi" w:eastAsia="Times New Roman" w:hAnsiTheme="minorHAnsi" w:cs="Helvetica"/>
          <w:b/>
          <w:bCs/>
          <w:color w:val="333333"/>
          <w:szCs w:val="24"/>
        </w:rPr>
        <w:t>)</w:t>
      </w:r>
    </w:p>
    <w:p w:rsidR="00865B41" w:rsidRPr="006D456E" w:rsidRDefault="0092003E"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lastRenderedPageBreak/>
        <w:t>На проведеното през април 2018 г. заседание</w:t>
      </w:r>
      <w:r w:rsidR="00865B41" w:rsidRPr="006D456E">
        <w:rPr>
          <w:rFonts w:asciiTheme="minorHAnsi" w:eastAsia="Times New Roman" w:hAnsiTheme="minorHAnsi" w:cs="Helvetica"/>
          <w:color w:val="575757"/>
          <w:szCs w:val="24"/>
        </w:rPr>
        <w:t xml:space="preserve"> </w:t>
      </w:r>
      <w:r w:rsidR="00A76BE9">
        <w:rPr>
          <w:rFonts w:asciiTheme="minorHAnsi" w:eastAsia="Times New Roman" w:hAnsiTheme="minorHAnsi" w:cs="Helvetica"/>
          <w:color w:val="575757"/>
          <w:szCs w:val="24"/>
          <w:lang w:val="bg-BG"/>
        </w:rPr>
        <w:t>Съветът реши в порядък на работна хипотеза</w:t>
      </w:r>
      <w:r>
        <w:rPr>
          <w:rFonts w:asciiTheme="minorHAnsi" w:eastAsia="Times New Roman" w:hAnsiTheme="minorHAnsi" w:cs="Helvetica"/>
          <w:color w:val="575757"/>
          <w:szCs w:val="24"/>
          <w:lang w:val="bg-BG"/>
        </w:rPr>
        <w:t>, че всички предприятия следва да идентифицират оценка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или оценки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на печалбата или на всеобхватния доход, които, според вижданията на ръководството, комуникират до потребителите на финансовите отчети финансовите резултати от дейността на предприятието</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Съветът реши също така, че ако тази оценка не е междинен сбор или сбор, изискван от параграф</w:t>
      </w:r>
      <w:r w:rsidR="00865B41" w:rsidRPr="006D456E">
        <w:rPr>
          <w:rFonts w:asciiTheme="minorHAnsi" w:eastAsia="Times New Roman" w:hAnsiTheme="minorHAnsi" w:cs="Helvetica"/>
          <w:color w:val="575757"/>
          <w:szCs w:val="24"/>
        </w:rPr>
        <w:t xml:space="preserve"> 81A </w:t>
      </w:r>
      <w:r>
        <w:rPr>
          <w:rFonts w:asciiTheme="minorHAnsi" w:eastAsia="Times New Roman" w:hAnsiTheme="minorHAnsi" w:cs="Helvetica"/>
          <w:color w:val="575757"/>
          <w:szCs w:val="24"/>
          <w:lang w:val="bg-BG"/>
        </w:rPr>
        <w:t>на</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 </w:t>
      </w:r>
      <w:r>
        <w:rPr>
          <w:rFonts w:asciiTheme="minorHAnsi" w:eastAsia="Times New Roman" w:hAnsiTheme="minorHAnsi" w:cs="Helvetica"/>
          <w:color w:val="575757"/>
          <w:szCs w:val="24"/>
          <w:lang w:val="bg-BG"/>
        </w:rPr>
        <w:t>то тя ще представлява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оценка на ръководството за резултатите от дейността и по отношение на нея ще бъдат приложими специфични изисквания за оповестяване</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За целите на тези предложения</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параграф</w:t>
      </w:r>
      <w:r w:rsidR="00865B41" w:rsidRPr="006D456E">
        <w:rPr>
          <w:rFonts w:asciiTheme="minorHAnsi" w:eastAsia="Times New Roman" w:hAnsiTheme="minorHAnsi" w:cs="Helvetica"/>
          <w:color w:val="575757"/>
          <w:szCs w:val="24"/>
        </w:rPr>
        <w:t xml:space="preserve"> 81A </w:t>
      </w:r>
      <w:r>
        <w:rPr>
          <w:rFonts w:asciiTheme="minorHAnsi" w:eastAsia="Times New Roman" w:hAnsiTheme="minorHAnsi" w:cs="Helvetica"/>
          <w:color w:val="575757"/>
          <w:szCs w:val="24"/>
          <w:lang w:val="bg-BG"/>
        </w:rPr>
        <w:t>от</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 </w:t>
      </w:r>
      <w:r>
        <w:rPr>
          <w:rFonts w:asciiTheme="minorHAnsi" w:eastAsia="Times New Roman" w:hAnsiTheme="minorHAnsi" w:cs="Helvetica"/>
          <w:color w:val="575757"/>
          <w:szCs w:val="24"/>
          <w:lang w:val="bg-BG"/>
        </w:rPr>
        <w:t>ще включва сега съществуващите</w:t>
      </w:r>
      <w:r w:rsidR="00CB7EF7" w:rsidRPr="00CB7EF7">
        <w:rPr>
          <w:rFonts w:asciiTheme="minorHAnsi" w:eastAsia="Times New Roman" w:hAnsiTheme="minorHAnsi" w:cs="Helvetica"/>
          <w:color w:val="575757"/>
          <w:szCs w:val="24"/>
          <w:lang w:val="bg-BG"/>
        </w:rPr>
        <w:t xml:space="preserve"> </w:t>
      </w:r>
      <w:r w:rsidR="00CB7EF7">
        <w:rPr>
          <w:rFonts w:asciiTheme="minorHAnsi" w:eastAsia="Times New Roman" w:hAnsiTheme="minorHAnsi" w:cs="Helvetica"/>
          <w:color w:val="575757"/>
          <w:szCs w:val="24"/>
          <w:lang w:val="bg-BG"/>
        </w:rPr>
        <w:t>в този параграф</w:t>
      </w:r>
      <w:r>
        <w:rPr>
          <w:rFonts w:asciiTheme="minorHAnsi" w:eastAsia="Times New Roman" w:hAnsiTheme="minorHAnsi" w:cs="Helvetica"/>
          <w:color w:val="575757"/>
          <w:szCs w:val="24"/>
          <w:lang w:val="bg-BG"/>
        </w:rPr>
        <w:t xml:space="preserve"> междинни сборове </w:t>
      </w:r>
      <w:r w:rsidR="00CB7EF7">
        <w:rPr>
          <w:rFonts w:asciiTheme="minorHAnsi" w:eastAsia="Times New Roman" w:hAnsiTheme="minorHAnsi" w:cs="Helvetica"/>
          <w:color w:val="575757"/>
          <w:szCs w:val="24"/>
          <w:lang w:val="bg-BG"/>
        </w:rPr>
        <w:t>и предложените задължителни междинни сборове, разработени като част от проекта, например, печалба преди инвестиране, финансиране и данъчно облагане</w:t>
      </w:r>
      <w:r w:rsidR="00865B41" w:rsidRPr="006D456E">
        <w:rPr>
          <w:rFonts w:asciiTheme="minorHAnsi" w:eastAsia="Times New Roman" w:hAnsiTheme="minorHAnsi" w:cs="Helvetica"/>
          <w:color w:val="575757"/>
          <w:szCs w:val="24"/>
        </w:rPr>
        <w:t>.</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това заседание</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Съветът реши в порядък на работна хипотеза</w:t>
      </w:r>
      <w:r w:rsidRPr="006D456E">
        <w:rPr>
          <w:rFonts w:asciiTheme="minorHAnsi" w:eastAsia="Times New Roman" w:hAnsiTheme="minorHAnsi" w:cs="Helvetica"/>
          <w:color w:val="575757"/>
          <w:szCs w:val="24"/>
        </w:rPr>
        <w:t xml:space="preserve"> </w:t>
      </w:r>
      <w:r w:rsidR="00621955">
        <w:rPr>
          <w:rFonts w:asciiTheme="minorHAnsi" w:eastAsia="Times New Roman" w:hAnsiTheme="minorHAnsi" w:cs="Helvetica"/>
          <w:color w:val="575757"/>
          <w:szCs w:val="24"/>
          <w:lang w:val="bg-BG"/>
        </w:rPr>
        <w:t>да разшири списъка с междинни сборове и сборове, които няма да бъдат считани за оценки на ръководството за резултатите от дейността, така че да включи следните широко използвани междинни сборове</w:t>
      </w:r>
      <w:r w:rsidR="00865B41" w:rsidRPr="006D456E">
        <w:rPr>
          <w:rFonts w:asciiTheme="minorHAnsi" w:eastAsia="Times New Roman" w:hAnsiTheme="minorHAnsi" w:cs="Helvetica"/>
          <w:color w:val="575757"/>
          <w:szCs w:val="24"/>
        </w:rPr>
        <w:t>:</w:t>
      </w:r>
    </w:p>
    <w:p w:rsidR="00865B41" w:rsidRPr="006D456E" w:rsidRDefault="00621955" w:rsidP="00865B41">
      <w:pPr>
        <w:widowControl/>
        <w:numPr>
          <w:ilvl w:val="0"/>
          <w:numId w:val="7"/>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Печалба преди данъци</w:t>
      </w:r>
      <w:r w:rsidR="00865B41" w:rsidRPr="006D456E">
        <w:rPr>
          <w:rFonts w:asciiTheme="minorHAnsi" w:eastAsia="Times New Roman" w:hAnsiTheme="minorHAnsi" w:cs="Helvetica"/>
          <w:color w:val="575757"/>
          <w:szCs w:val="24"/>
        </w:rPr>
        <w:t>;</w:t>
      </w:r>
    </w:p>
    <w:p w:rsidR="00865B41" w:rsidRPr="006D456E" w:rsidRDefault="00621955" w:rsidP="00865B41">
      <w:pPr>
        <w:widowControl/>
        <w:numPr>
          <w:ilvl w:val="0"/>
          <w:numId w:val="7"/>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Печалба от продължаваща дейност</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w:t>
      </w:r>
    </w:p>
    <w:p w:rsidR="00865B41" w:rsidRPr="006D456E" w:rsidRDefault="00621955" w:rsidP="00865B41">
      <w:pPr>
        <w:widowControl/>
        <w:numPr>
          <w:ilvl w:val="0"/>
          <w:numId w:val="7"/>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Брутна печалба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дефинирана като приходи, намалени със себестойността на продажбите</w:t>
      </w:r>
      <w:r w:rsidR="00865B41" w:rsidRPr="006D456E">
        <w:rPr>
          <w:rFonts w:asciiTheme="minorHAnsi" w:eastAsia="Times New Roman" w:hAnsiTheme="minorHAnsi" w:cs="Helvetica"/>
          <w:color w:val="575757"/>
          <w:szCs w:val="24"/>
        </w:rPr>
        <w:t>.</w:t>
      </w:r>
    </w:p>
    <w:p w:rsidR="00865B41" w:rsidRPr="006D456E" w:rsidRDefault="00CD31D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Тринадесет от четиринадесетте членове на Съвета изразиха съгласие, а един – несъгласие с това решение.</w:t>
      </w:r>
      <w:r w:rsidR="00865B41" w:rsidRPr="006D456E">
        <w:rPr>
          <w:rFonts w:asciiTheme="minorHAnsi" w:eastAsia="Times New Roman" w:hAnsiTheme="minorHAnsi" w:cs="Helvetica"/>
          <w:color w:val="575757"/>
          <w:szCs w:val="24"/>
        </w:rPr>
        <w:t xml:space="preserve"> </w:t>
      </w:r>
      <w:r w:rsidR="00621955">
        <w:rPr>
          <w:rFonts w:asciiTheme="minorHAnsi" w:eastAsia="Times New Roman" w:hAnsiTheme="minorHAnsi" w:cs="Helvetica"/>
          <w:color w:val="575757"/>
          <w:szCs w:val="24"/>
          <w:lang w:val="bg-BG"/>
        </w:rPr>
        <w:t>Някои членове на Съвета се изказаха за повишено внимание при редактиране на текстовете на проекта, така че ясно да се разграничат въпросните широко използвани междинни сборове от тези, които изрично се изисква да бъдат представяни от всички предприятия съгласно параграф</w:t>
      </w:r>
      <w:r w:rsidR="00865B41" w:rsidRPr="006D456E">
        <w:rPr>
          <w:rFonts w:asciiTheme="minorHAnsi" w:eastAsia="Times New Roman" w:hAnsiTheme="minorHAnsi" w:cs="Helvetica"/>
          <w:color w:val="575757"/>
          <w:szCs w:val="24"/>
        </w:rPr>
        <w:t xml:space="preserve"> 81A </w:t>
      </w:r>
      <w:r w:rsidR="00621955">
        <w:rPr>
          <w:rFonts w:asciiTheme="minorHAnsi" w:eastAsia="Times New Roman" w:hAnsiTheme="minorHAnsi" w:cs="Helvetica"/>
          <w:color w:val="575757"/>
          <w:szCs w:val="24"/>
          <w:lang w:val="bg-BG"/>
        </w:rPr>
        <w:t>от</w:t>
      </w:r>
      <w:r w:rsidR="00865B41" w:rsidRPr="006D456E">
        <w:rPr>
          <w:rFonts w:asciiTheme="minorHAnsi" w:eastAsia="Times New Roman" w:hAnsiTheme="minorHAnsi" w:cs="Helvetica"/>
          <w:color w:val="575757"/>
          <w:szCs w:val="24"/>
        </w:rPr>
        <w:t xml:space="preserve"> </w:t>
      </w:r>
      <w:r w:rsidR="00D54546">
        <w:rPr>
          <w:rFonts w:asciiTheme="minorHAnsi" w:eastAsia="Times New Roman" w:hAnsiTheme="minorHAnsi" w:cs="Helvetica"/>
          <w:color w:val="575757"/>
          <w:szCs w:val="24"/>
        </w:rPr>
        <w:t>МСС</w:t>
      </w:r>
      <w:r w:rsidR="00865B41" w:rsidRPr="006D456E">
        <w:rPr>
          <w:rFonts w:asciiTheme="minorHAnsi" w:eastAsia="Times New Roman" w:hAnsiTheme="minorHAnsi" w:cs="Helvetica"/>
          <w:color w:val="575757"/>
          <w:szCs w:val="24"/>
        </w:rPr>
        <w:t xml:space="preserve"> 1. </w:t>
      </w:r>
      <w:r w:rsidR="00621955">
        <w:rPr>
          <w:rFonts w:asciiTheme="minorHAnsi" w:eastAsia="Times New Roman" w:hAnsiTheme="minorHAnsi" w:cs="Helvetica"/>
          <w:color w:val="575757"/>
          <w:szCs w:val="24"/>
          <w:lang w:val="bg-BG"/>
        </w:rPr>
        <w:t>Някои членове на Съвета поискаха от екипа да обмисли дали конкретно да се изисква някои от тези три междинни сбора да бъдат представяни от всички предприятия</w:t>
      </w:r>
      <w:r w:rsidR="00865B41" w:rsidRPr="006D456E">
        <w:rPr>
          <w:rFonts w:asciiTheme="minorHAnsi" w:eastAsia="Times New Roman" w:hAnsiTheme="minorHAnsi" w:cs="Helvetica"/>
          <w:color w:val="575757"/>
          <w:szCs w:val="24"/>
        </w:rPr>
        <w:t>.</w:t>
      </w:r>
    </w:p>
    <w:p w:rsidR="00865B41" w:rsidRPr="006D456E" w:rsidRDefault="00621955"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На това свое заседание Съветът разгледа въпроса дали от предприятията, които </w:t>
      </w:r>
      <w:r w:rsidR="00D31874">
        <w:rPr>
          <w:rFonts w:asciiTheme="minorHAnsi" w:eastAsia="Times New Roman" w:hAnsiTheme="minorHAnsi" w:cs="Helvetica"/>
          <w:color w:val="575757"/>
          <w:szCs w:val="24"/>
          <w:lang w:val="bg-BG"/>
        </w:rPr>
        <w:t>идентифицират</w:t>
      </w:r>
      <w:r>
        <w:rPr>
          <w:rFonts w:asciiTheme="minorHAnsi" w:eastAsia="Times New Roman" w:hAnsiTheme="minorHAnsi" w:cs="Helvetica"/>
          <w:color w:val="575757"/>
          <w:szCs w:val="24"/>
          <w:lang w:val="bg-BG"/>
        </w:rPr>
        <w:t xml:space="preserve"> повече от една оценка на ръководството за резултатите от дейността</w:t>
      </w:r>
      <w:r w:rsidR="00D31874">
        <w:rPr>
          <w:rFonts w:asciiTheme="minorHAnsi" w:eastAsia="Times New Roman" w:hAnsiTheme="minorHAnsi" w:cs="Helvetica"/>
          <w:color w:val="575757"/>
          <w:szCs w:val="24"/>
          <w:lang w:val="bg-BG"/>
        </w:rPr>
        <w:t>,</w:t>
      </w:r>
      <w:r>
        <w:rPr>
          <w:rFonts w:asciiTheme="minorHAnsi" w:eastAsia="Times New Roman" w:hAnsiTheme="minorHAnsi" w:cs="Helvetica"/>
          <w:color w:val="575757"/>
          <w:szCs w:val="24"/>
          <w:lang w:val="bg-BG"/>
        </w:rPr>
        <w:t xml:space="preserve"> ще се изисква да оповестяват </w:t>
      </w:r>
      <w:r w:rsidR="00D31874">
        <w:rPr>
          <w:rFonts w:asciiTheme="minorHAnsi" w:eastAsia="Times New Roman" w:hAnsiTheme="minorHAnsi" w:cs="Helvetica"/>
          <w:color w:val="575757"/>
          <w:szCs w:val="24"/>
          <w:lang w:val="bg-BG"/>
        </w:rPr>
        <w:t>няколко величини за коригираната печалба на акция</w:t>
      </w:r>
      <w:r w:rsidR="00865B41" w:rsidRPr="006D456E">
        <w:rPr>
          <w:rFonts w:asciiTheme="minorHAnsi" w:eastAsia="Times New Roman" w:hAnsiTheme="minorHAnsi" w:cs="Helvetica"/>
          <w:color w:val="575757"/>
          <w:szCs w:val="24"/>
        </w:rPr>
        <w:t xml:space="preserve">. </w:t>
      </w:r>
      <w:r w:rsidR="00D31874">
        <w:rPr>
          <w:rFonts w:asciiTheme="minorHAnsi" w:eastAsia="Times New Roman" w:hAnsiTheme="minorHAnsi" w:cs="Helvetica"/>
          <w:color w:val="575757"/>
          <w:szCs w:val="24"/>
          <w:lang w:val="bg-BG"/>
        </w:rPr>
        <w:t>В светлината на тези обсъждания</w:t>
      </w:r>
      <w:r w:rsidR="00865B41" w:rsidRPr="006D456E">
        <w:rPr>
          <w:rFonts w:asciiTheme="minorHAnsi" w:eastAsia="Times New Roman" w:hAnsiTheme="minorHAnsi" w:cs="Helvetica"/>
          <w:color w:val="575757"/>
          <w:szCs w:val="24"/>
        </w:rPr>
        <w:t xml:space="preserve">, </w:t>
      </w:r>
      <w:r w:rsidR="007636C3">
        <w:rPr>
          <w:rFonts w:asciiTheme="minorHAnsi" w:eastAsia="Times New Roman" w:hAnsiTheme="minorHAnsi" w:cs="Helvetica"/>
          <w:color w:val="575757"/>
          <w:szCs w:val="24"/>
          <w:lang w:val="bg-BG"/>
        </w:rPr>
        <w:t>Съветът реши в порядък на работна хипотеза</w:t>
      </w:r>
      <w:r w:rsidR="00D31874">
        <w:rPr>
          <w:rFonts w:asciiTheme="minorHAnsi" w:eastAsia="Times New Roman" w:hAnsiTheme="minorHAnsi" w:cs="Helvetica"/>
          <w:color w:val="575757"/>
          <w:szCs w:val="24"/>
          <w:lang w:val="bg-BG"/>
        </w:rPr>
        <w:t xml:space="preserve"> да не се изисква от никое предприятие да оповестява коригирана печалба на акция</w:t>
      </w:r>
      <w:r w:rsidR="00865B41" w:rsidRPr="006D456E">
        <w:rPr>
          <w:rFonts w:asciiTheme="minorHAnsi" w:eastAsia="Times New Roman" w:hAnsiTheme="minorHAnsi" w:cs="Helvetica"/>
          <w:color w:val="575757"/>
          <w:szCs w:val="24"/>
        </w:rPr>
        <w:t xml:space="preserve">. </w:t>
      </w:r>
      <w:r w:rsidR="00D31874">
        <w:rPr>
          <w:rFonts w:asciiTheme="minorHAnsi" w:eastAsia="Times New Roman" w:hAnsiTheme="minorHAnsi" w:cs="Helvetica"/>
          <w:color w:val="575757"/>
          <w:szCs w:val="24"/>
          <w:lang w:val="bg-BG"/>
        </w:rPr>
        <w:t>Така се отменя решението на Съвета от заседанието през април 2018 г. да се изисква предприятията да оповестяват коригирана печалба на акция в пояснителните приложения</w:t>
      </w:r>
      <w:r w:rsidR="00865B41" w:rsidRPr="006D456E">
        <w:rPr>
          <w:rFonts w:asciiTheme="minorHAnsi" w:eastAsia="Times New Roman" w:hAnsiTheme="minorHAnsi" w:cs="Helvetica"/>
          <w:color w:val="575757"/>
          <w:szCs w:val="24"/>
        </w:rPr>
        <w:t xml:space="preserve">. </w:t>
      </w:r>
      <w:r w:rsidR="00D31874">
        <w:rPr>
          <w:rFonts w:asciiTheme="minorHAnsi" w:eastAsia="Times New Roman" w:hAnsiTheme="minorHAnsi" w:cs="Helvetica"/>
          <w:color w:val="575757"/>
          <w:szCs w:val="24"/>
          <w:lang w:val="bg-BG"/>
        </w:rPr>
        <w:t>Съветът обаче препотвърди взетото през април 2018 г. решение да изисква предприятията да оповестяват в пояснителните приложения ефекта от данъчно облагане и неконтролиращи участия отделно по отношение на всяка от разликите между оценката на ръководството за резултатите от дейността и най-пряко съпоставимия междинен сбор или сбор в параграф</w:t>
      </w:r>
      <w:r w:rsidR="00865B41" w:rsidRPr="006D456E">
        <w:rPr>
          <w:rFonts w:asciiTheme="minorHAnsi" w:eastAsia="Times New Roman" w:hAnsiTheme="minorHAnsi" w:cs="Helvetica"/>
          <w:color w:val="575757"/>
          <w:szCs w:val="24"/>
        </w:rPr>
        <w:t xml:space="preserve"> 81A. </w:t>
      </w:r>
      <w:r w:rsidR="00CD31DF">
        <w:rPr>
          <w:rFonts w:asciiTheme="minorHAnsi" w:eastAsia="Times New Roman" w:hAnsiTheme="minorHAnsi" w:cs="Helvetica"/>
          <w:color w:val="575757"/>
          <w:szCs w:val="24"/>
          <w:lang w:val="bg-BG"/>
        </w:rPr>
        <w:t>Тринадесет от четиринадесетте членове на Съвета изразиха съгласие, а един – несъгласие с това решение</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lastRenderedPageBreak/>
        <w:t>Следващи етапи</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бъдещи свои заседания Съветът ще продължи с обсъжданията по темите, попадащи в обхвата на този проект</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7700D7" w:rsidRDefault="007700D7"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lang w:val="bg-BG"/>
        </w:rPr>
      </w:pPr>
      <w:bookmarkStart w:id="2" w:name="2"/>
      <w:r w:rsidRPr="007700D7">
        <w:rPr>
          <w:rFonts w:asciiTheme="minorHAnsi" w:eastAsia="Times New Roman" w:hAnsiTheme="minorHAnsi" w:cs="Helvetica"/>
          <w:b/>
          <w:bCs/>
          <w:color w:val="CD3333"/>
          <w:sz w:val="34"/>
          <w:szCs w:val="34"/>
          <w:lang w:val="bg-BG"/>
        </w:rPr>
        <w:t>Инициатива за оповестяване — целеви преглед на оповестяванията на ниво стандарт</w:t>
      </w:r>
      <w:r w:rsidR="00865B41" w:rsidRPr="007700D7">
        <w:rPr>
          <w:rFonts w:asciiTheme="minorHAnsi" w:eastAsia="Times New Roman" w:hAnsiTheme="minorHAnsi" w:cs="Helvetica"/>
          <w:b/>
          <w:bCs/>
          <w:color w:val="CD3333"/>
          <w:sz w:val="34"/>
          <w:szCs w:val="34"/>
          <w:lang w:val="bg-BG"/>
        </w:rPr>
        <w:t xml:space="preserve"> (</w:t>
      </w:r>
      <w:r w:rsidR="00A45D01" w:rsidRPr="007700D7">
        <w:rPr>
          <w:rFonts w:asciiTheme="minorHAnsi" w:eastAsia="Times New Roman" w:hAnsiTheme="minorHAnsi" w:cs="Helvetica"/>
          <w:b/>
          <w:bCs/>
          <w:color w:val="CD3333"/>
          <w:sz w:val="34"/>
          <w:szCs w:val="34"/>
          <w:lang w:val="bg-BG"/>
        </w:rPr>
        <w:t>Документ по програмата</w:t>
      </w:r>
      <w:r w:rsidR="00865B41" w:rsidRPr="007700D7">
        <w:rPr>
          <w:rFonts w:asciiTheme="minorHAnsi" w:eastAsia="Times New Roman" w:hAnsiTheme="minorHAnsi" w:cs="Helvetica"/>
          <w:b/>
          <w:bCs/>
          <w:color w:val="CD3333"/>
          <w:sz w:val="34"/>
          <w:szCs w:val="34"/>
          <w:lang w:val="bg-BG"/>
        </w:rPr>
        <w:t xml:space="preserve"> 11)</w:t>
      </w:r>
      <w:bookmarkEnd w:id="2"/>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23 май 2018 г. Съветът проведе заседание, за да обсъди</w:t>
      </w:r>
      <w:r w:rsidRPr="006D456E">
        <w:rPr>
          <w:rFonts w:asciiTheme="minorHAnsi" w:eastAsia="Times New Roman" w:hAnsiTheme="minorHAnsi" w:cs="Helvetica"/>
          <w:color w:val="575757"/>
          <w:szCs w:val="24"/>
        </w:rPr>
        <w:t xml:space="preserve"> </w:t>
      </w:r>
      <w:r w:rsidR="00ED36E6">
        <w:rPr>
          <w:rFonts w:asciiTheme="minorHAnsi" w:eastAsia="Times New Roman" w:hAnsiTheme="minorHAnsi" w:cs="Helvetica"/>
          <w:color w:val="575757"/>
          <w:szCs w:val="24"/>
          <w:lang w:val="bg-BG"/>
        </w:rPr>
        <w:t>насоки, които да бъдат използвани от Съвета при разработване и изготвяне на проект на изискванията за оповестяване</w:t>
      </w:r>
      <w:r w:rsidR="00ED36E6" w:rsidRPr="006D456E">
        <w:rPr>
          <w:rFonts w:asciiTheme="minorHAnsi" w:eastAsia="Times New Roman" w:hAnsiTheme="minorHAnsi" w:cs="Helvetica"/>
          <w:color w:val="575757"/>
          <w:szCs w:val="24"/>
        </w:rPr>
        <w:t xml:space="preserve">. </w:t>
      </w:r>
      <w:r w:rsidR="00ED36E6">
        <w:rPr>
          <w:rFonts w:asciiTheme="minorHAnsi" w:eastAsia="Times New Roman" w:hAnsiTheme="minorHAnsi" w:cs="Helvetica"/>
          <w:color w:val="575757"/>
          <w:szCs w:val="24"/>
          <w:lang w:val="bg-BG"/>
        </w:rPr>
        <w:t>По-конкретно</w:t>
      </w:r>
      <w:r w:rsidR="00865B41" w:rsidRPr="006D456E">
        <w:rPr>
          <w:rFonts w:asciiTheme="minorHAnsi" w:eastAsia="Times New Roman" w:hAnsiTheme="minorHAnsi" w:cs="Helvetica"/>
          <w:color w:val="575757"/>
          <w:szCs w:val="24"/>
        </w:rPr>
        <w:t xml:space="preserve">, </w:t>
      </w:r>
      <w:r w:rsidR="00ED36E6">
        <w:rPr>
          <w:rFonts w:asciiTheme="minorHAnsi" w:eastAsia="Times New Roman" w:hAnsiTheme="minorHAnsi" w:cs="Helvetica"/>
          <w:color w:val="575757"/>
          <w:szCs w:val="24"/>
          <w:lang w:val="bg-BG"/>
        </w:rPr>
        <w:t>Съветът обсъди начина, по който ще използва целите на оповестяването</w:t>
      </w:r>
      <w:r w:rsidR="00865B41" w:rsidRPr="006D456E">
        <w:rPr>
          <w:rFonts w:asciiTheme="minorHAnsi" w:eastAsia="Times New Roman" w:hAnsiTheme="minorHAnsi" w:cs="Helvetica"/>
          <w:i/>
          <w:iCs/>
          <w:color w:val="575757"/>
          <w:szCs w:val="24"/>
        </w:rPr>
        <w:t>.</w:t>
      </w:r>
    </w:p>
    <w:p w:rsidR="00865B41" w:rsidRPr="006D456E" w:rsidRDefault="00ED36E6" w:rsidP="00865B41">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Pr>
          <w:rFonts w:asciiTheme="minorHAnsi" w:eastAsia="Times New Roman" w:hAnsiTheme="minorHAnsi" w:cs="Helvetica"/>
          <w:b/>
          <w:bCs/>
          <w:i/>
          <w:iCs/>
          <w:color w:val="333333"/>
          <w:szCs w:val="24"/>
          <w:lang w:val="bg-BG"/>
        </w:rPr>
        <w:t xml:space="preserve">Насоки за Съвета – общ преглед </w:t>
      </w:r>
      <w:r w:rsidR="00865B41" w:rsidRPr="006D456E">
        <w:rPr>
          <w:rFonts w:asciiTheme="minorHAnsi" w:eastAsia="Times New Roman" w:hAnsiTheme="minorHAnsi" w:cs="Helvetica"/>
          <w:b/>
          <w:bCs/>
          <w:color w:val="333333"/>
          <w:szCs w:val="24"/>
        </w:rPr>
        <w:t>(</w:t>
      </w:r>
      <w:r w:rsidR="00A45D01">
        <w:rPr>
          <w:rFonts w:asciiTheme="minorHAnsi" w:eastAsia="Times New Roman" w:hAnsiTheme="minorHAnsi" w:cs="Helvetica"/>
          <w:b/>
          <w:bCs/>
          <w:color w:val="333333"/>
          <w:szCs w:val="24"/>
        </w:rPr>
        <w:t>Документ по програмата</w:t>
      </w:r>
      <w:r w:rsidR="00865B41" w:rsidRPr="006D456E">
        <w:rPr>
          <w:rFonts w:asciiTheme="minorHAnsi" w:eastAsia="Times New Roman" w:hAnsiTheme="minorHAnsi" w:cs="Helvetica"/>
          <w:b/>
          <w:bCs/>
          <w:color w:val="333333"/>
          <w:szCs w:val="24"/>
        </w:rPr>
        <w:t xml:space="preserve"> 11A)</w:t>
      </w:r>
    </w:p>
    <w:p w:rsidR="00865B41" w:rsidRPr="006D456E" w:rsidRDefault="00ED36E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обсъди обобщена информация за предложения от екипа подход за представяне на анализ и препоръки до Съвета в течение на следващите месеци</w:t>
      </w:r>
      <w:r w:rsidR="00865B41" w:rsidRPr="006D456E">
        <w:rPr>
          <w:rFonts w:asciiTheme="minorHAnsi" w:eastAsia="Times New Roman" w:hAnsiTheme="minorHAnsi" w:cs="Helvetica"/>
          <w:color w:val="575757"/>
          <w:szCs w:val="24"/>
        </w:rPr>
        <w:t xml:space="preserve">. </w:t>
      </w:r>
      <w:r w:rsidR="007636C3">
        <w:rPr>
          <w:rFonts w:asciiTheme="minorHAnsi" w:eastAsia="Times New Roman" w:hAnsiTheme="minorHAnsi" w:cs="Helvetica"/>
          <w:color w:val="575757"/>
          <w:szCs w:val="24"/>
          <w:lang w:val="bg-BG"/>
        </w:rPr>
        <w:t>От Съвета не бе поискано да взема каквито и да е решения.</w:t>
      </w:r>
    </w:p>
    <w:p w:rsidR="00865B41" w:rsidRPr="006D456E" w:rsidRDefault="00ED36E6" w:rsidP="00865B41">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Pr>
          <w:rFonts w:asciiTheme="minorHAnsi" w:eastAsia="Times New Roman" w:hAnsiTheme="minorHAnsi" w:cs="Helvetica"/>
          <w:b/>
          <w:bCs/>
          <w:i/>
          <w:iCs/>
          <w:color w:val="333333"/>
          <w:szCs w:val="24"/>
          <w:lang w:val="bg-BG"/>
        </w:rPr>
        <w:t xml:space="preserve">Насоки за Съвета </w:t>
      </w:r>
      <w:r w:rsidR="00865B41" w:rsidRPr="006D456E">
        <w:rPr>
          <w:rFonts w:asciiTheme="minorHAnsi" w:eastAsia="Times New Roman" w:hAnsiTheme="minorHAnsi" w:cs="Helvetica"/>
          <w:b/>
          <w:bCs/>
          <w:i/>
          <w:iCs/>
          <w:color w:val="333333"/>
          <w:szCs w:val="24"/>
        </w:rPr>
        <w:t>—</w:t>
      </w:r>
      <w:r>
        <w:rPr>
          <w:rFonts w:asciiTheme="minorHAnsi" w:eastAsia="Times New Roman" w:hAnsiTheme="minorHAnsi" w:cs="Helvetica"/>
          <w:b/>
          <w:bCs/>
          <w:i/>
          <w:iCs/>
          <w:color w:val="333333"/>
          <w:szCs w:val="24"/>
          <w:lang w:val="bg-BG"/>
        </w:rPr>
        <w:t xml:space="preserve"> Цели на оповестяването </w:t>
      </w:r>
      <w:r w:rsidR="00865B41" w:rsidRPr="006D456E">
        <w:rPr>
          <w:rFonts w:asciiTheme="minorHAnsi" w:eastAsia="Times New Roman" w:hAnsiTheme="minorHAnsi" w:cs="Helvetica"/>
          <w:b/>
          <w:bCs/>
          <w:color w:val="333333"/>
          <w:szCs w:val="24"/>
        </w:rPr>
        <w:t>(</w:t>
      </w:r>
      <w:r w:rsidR="00A45D01">
        <w:rPr>
          <w:rFonts w:asciiTheme="minorHAnsi" w:eastAsia="Times New Roman" w:hAnsiTheme="minorHAnsi" w:cs="Helvetica"/>
          <w:b/>
          <w:bCs/>
          <w:color w:val="333333"/>
          <w:szCs w:val="24"/>
        </w:rPr>
        <w:t>Документ по програмата</w:t>
      </w:r>
      <w:r w:rsidR="00865B41" w:rsidRPr="006D456E">
        <w:rPr>
          <w:rFonts w:asciiTheme="minorHAnsi" w:eastAsia="Times New Roman" w:hAnsiTheme="minorHAnsi" w:cs="Helvetica"/>
          <w:b/>
          <w:bCs/>
          <w:color w:val="333333"/>
          <w:szCs w:val="24"/>
        </w:rPr>
        <w:t xml:space="preserve"> 11</w:t>
      </w:r>
      <w:r>
        <w:rPr>
          <w:rFonts w:asciiTheme="minorHAnsi" w:eastAsia="Times New Roman" w:hAnsiTheme="minorHAnsi" w:cs="Helvetica"/>
          <w:b/>
          <w:bCs/>
          <w:color w:val="333333"/>
          <w:szCs w:val="24"/>
          <w:lang w:val="bg-BG"/>
        </w:rPr>
        <w:t>Б</w:t>
      </w:r>
      <w:r w:rsidR="00865B41" w:rsidRPr="006D456E">
        <w:rPr>
          <w:rFonts w:asciiTheme="minorHAnsi" w:eastAsia="Times New Roman" w:hAnsiTheme="minorHAnsi" w:cs="Helvetica"/>
          <w:b/>
          <w:bCs/>
          <w:color w:val="333333"/>
          <w:szCs w:val="24"/>
        </w:rPr>
        <w:t>)</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в порядък на работна хипотеза</w:t>
      </w:r>
      <w:r w:rsidR="0014399C">
        <w:rPr>
          <w:rFonts w:asciiTheme="minorHAnsi" w:eastAsia="Times New Roman" w:hAnsiTheme="minorHAnsi" w:cs="Helvetica"/>
          <w:color w:val="575757"/>
          <w:szCs w:val="24"/>
          <w:lang w:val="bg-BG"/>
        </w:rPr>
        <w:t>, че когато в бъдеще Съветът разработва и изготвя проект на изисквания за оповестяване</w:t>
      </w:r>
      <w:r w:rsidR="00865B41" w:rsidRPr="006D456E">
        <w:rPr>
          <w:rFonts w:asciiTheme="minorHAnsi" w:eastAsia="Times New Roman" w:hAnsiTheme="minorHAnsi" w:cs="Helvetica"/>
          <w:color w:val="575757"/>
          <w:szCs w:val="24"/>
        </w:rPr>
        <w:t xml:space="preserve">, </w:t>
      </w:r>
      <w:r w:rsidR="0014399C">
        <w:rPr>
          <w:rFonts w:asciiTheme="minorHAnsi" w:eastAsia="Times New Roman" w:hAnsiTheme="minorHAnsi" w:cs="Helvetica"/>
          <w:color w:val="575757"/>
          <w:szCs w:val="24"/>
          <w:lang w:val="bg-BG"/>
        </w:rPr>
        <w:t>Съветът ще</w:t>
      </w:r>
      <w:r w:rsidR="00865B41" w:rsidRPr="006D456E">
        <w:rPr>
          <w:rFonts w:asciiTheme="minorHAnsi" w:eastAsia="Times New Roman" w:hAnsiTheme="minorHAnsi" w:cs="Helvetica"/>
          <w:color w:val="575757"/>
          <w:szCs w:val="24"/>
        </w:rPr>
        <w:t>:</w:t>
      </w:r>
    </w:p>
    <w:p w:rsidR="00865B41" w:rsidRPr="006D456E" w:rsidRDefault="0014399C" w:rsidP="00865B41">
      <w:pPr>
        <w:widowControl/>
        <w:numPr>
          <w:ilvl w:val="0"/>
          <w:numId w:val="8"/>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базира всички изисквания за оповестяване върху една или повече специфични цели на оповестяването</w:t>
      </w:r>
      <w:r w:rsidR="00865B41" w:rsidRPr="006D456E">
        <w:rPr>
          <w:rFonts w:asciiTheme="minorHAnsi" w:eastAsia="Times New Roman" w:hAnsiTheme="minorHAnsi" w:cs="Helvetica"/>
          <w:color w:val="575757"/>
          <w:szCs w:val="24"/>
        </w:rPr>
        <w:t>.</w:t>
      </w:r>
      <w:r>
        <w:rPr>
          <w:rFonts w:asciiTheme="minorHAnsi" w:eastAsia="Times New Roman" w:hAnsiTheme="minorHAnsi" w:cs="Helvetica"/>
          <w:color w:val="575757"/>
          <w:szCs w:val="24"/>
          <w:lang w:val="bg-BG"/>
        </w:rPr>
        <w:t xml:space="preserve"> Тези цели следва да поясняват защо информацията е полезна за основните потребители на финансовите отчети и какво се очаква да правят с въпросната информация тези потребители на финансовите отчети</w:t>
      </w:r>
      <w:r w:rsidR="00865B41" w:rsidRPr="006D456E">
        <w:rPr>
          <w:rFonts w:asciiTheme="minorHAnsi" w:eastAsia="Times New Roman" w:hAnsiTheme="minorHAnsi" w:cs="Helvetica"/>
          <w:color w:val="575757"/>
          <w:szCs w:val="24"/>
        </w:rPr>
        <w:t>.</w:t>
      </w:r>
    </w:p>
    <w:p w:rsidR="00865B41" w:rsidRPr="006D456E" w:rsidRDefault="0014399C" w:rsidP="00865B41">
      <w:pPr>
        <w:widowControl/>
        <w:numPr>
          <w:ilvl w:val="0"/>
          <w:numId w:val="8"/>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изготвя проект на всички изисквания за оповестяване така, че изрично да се посочва стоящата в основата цел или цели и ясно да се обвързва всяка отделна информация, включена в изискванията за оповестяване, със съответната цел или цели</w:t>
      </w:r>
      <w:r w:rsidR="00865B41" w:rsidRPr="006D456E">
        <w:rPr>
          <w:rFonts w:asciiTheme="minorHAnsi" w:eastAsia="Times New Roman" w:hAnsiTheme="minorHAnsi" w:cs="Helvetica"/>
          <w:color w:val="575757"/>
          <w:szCs w:val="24"/>
        </w:rPr>
        <w:t>.</w:t>
      </w:r>
    </w:p>
    <w:p w:rsidR="00865B41" w:rsidRPr="00CD31DF" w:rsidRDefault="00865B41" w:rsidP="00865B41">
      <w:pPr>
        <w:widowControl/>
        <w:shd w:val="clear" w:color="auto" w:fill="FFFFFF"/>
        <w:suppressAutoHyphens w:val="0"/>
        <w:spacing w:after="300"/>
        <w:rPr>
          <w:rFonts w:asciiTheme="minorHAnsi" w:eastAsia="Times New Roman" w:hAnsiTheme="minorHAnsi" w:cs="Helvetica"/>
          <w:color w:val="575757"/>
          <w:szCs w:val="24"/>
          <w:lang w:val="bg-BG"/>
        </w:rPr>
      </w:pPr>
      <w:r w:rsidRPr="006D456E">
        <w:rPr>
          <w:rFonts w:asciiTheme="minorHAnsi" w:eastAsia="Times New Roman" w:hAnsiTheme="minorHAnsi" w:cs="Helvetica"/>
          <w:color w:val="575757"/>
          <w:szCs w:val="24"/>
        </w:rPr>
        <w:t> </w:t>
      </w:r>
      <w:r w:rsidR="00CD31DF">
        <w:rPr>
          <w:rFonts w:asciiTheme="minorHAnsi" w:eastAsia="Times New Roman" w:hAnsiTheme="minorHAnsi" w:cs="Helvetica"/>
          <w:color w:val="575757"/>
          <w:szCs w:val="24"/>
          <w:lang w:val="bg-BG"/>
        </w:rPr>
        <w:t>Тринадесет от четиринадесетте членове на Съвета изразиха съгласие с това решение</w:t>
      </w:r>
      <w:r w:rsidRPr="006D456E">
        <w:rPr>
          <w:rFonts w:asciiTheme="minorHAnsi" w:eastAsia="Times New Roman" w:hAnsiTheme="minorHAnsi" w:cs="Helvetica"/>
          <w:color w:val="575757"/>
          <w:szCs w:val="24"/>
        </w:rPr>
        <w:t>.</w:t>
      </w:r>
      <w:r w:rsidR="00CD31DF">
        <w:rPr>
          <w:rFonts w:asciiTheme="minorHAnsi" w:eastAsia="Times New Roman" w:hAnsiTheme="minorHAnsi" w:cs="Helvetica"/>
          <w:color w:val="575757"/>
          <w:szCs w:val="24"/>
          <w:lang w:val="bg-BG"/>
        </w:rPr>
        <w:t xml:space="preserve"> Един от членовете отсъстваше.</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също така в порядък на работна хипотеза</w:t>
      </w:r>
      <w:r w:rsidR="0014399C">
        <w:rPr>
          <w:rFonts w:asciiTheme="minorHAnsi" w:eastAsia="Times New Roman" w:hAnsiTheme="minorHAnsi" w:cs="Helvetica"/>
          <w:color w:val="575757"/>
          <w:szCs w:val="24"/>
          <w:lang w:val="bg-BG"/>
        </w:rPr>
        <w:t xml:space="preserve">, че ще продължи да използва в отделните МСФО стандарти </w:t>
      </w:r>
      <w:r w:rsidR="007732BA">
        <w:rPr>
          <w:rFonts w:asciiTheme="minorHAnsi" w:eastAsia="Times New Roman" w:hAnsiTheme="minorHAnsi" w:cs="Helvetica"/>
          <w:color w:val="575757"/>
          <w:szCs w:val="24"/>
          <w:lang w:val="bg-BG"/>
        </w:rPr>
        <w:t xml:space="preserve">обобщени </w:t>
      </w:r>
      <w:r w:rsidR="0014399C">
        <w:rPr>
          <w:rFonts w:asciiTheme="minorHAnsi" w:eastAsia="Times New Roman" w:hAnsiTheme="minorHAnsi" w:cs="Helvetica"/>
          <w:color w:val="575757"/>
          <w:szCs w:val="24"/>
          <w:lang w:val="bg-BG"/>
        </w:rPr>
        <w:t>цели на оповестяването</w:t>
      </w:r>
      <w:r w:rsidR="00865B41" w:rsidRPr="006D456E">
        <w:rPr>
          <w:rFonts w:asciiTheme="minorHAnsi" w:eastAsia="Times New Roman" w:hAnsiTheme="minorHAnsi" w:cs="Helvetica"/>
          <w:color w:val="575757"/>
          <w:szCs w:val="24"/>
        </w:rPr>
        <w:t xml:space="preserve">. </w:t>
      </w:r>
      <w:r w:rsidR="0014399C">
        <w:rPr>
          <w:rFonts w:asciiTheme="minorHAnsi" w:eastAsia="Times New Roman" w:hAnsiTheme="minorHAnsi" w:cs="Helvetica"/>
          <w:color w:val="575757"/>
          <w:szCs w:val="24"/>
          <w:lang w:val="bg-BG"/>
        </w:rPr>
        <w:t>Замисълът на тези цели</w:t>
      </w:r>
      <w:r w:rsidR="00865B41" w:rsidRPr="006D456E">
        <w:rPr>
          <w:rFonts w:asciiTheme="minorHAnsi" w:eastAsia="Times New Roman" w:hAnsiTheme="minorHAnsi" w:cs="Helvetica"/>
          <w:color w:val="575757"/>
          <w:szCs w:val="24"/>
        </w:rPr>
        <w:t xml:space="preserve"> </w:t>
      </w:r>
      <w:r w:rsidR="0014399C">
        <w:rPr>
          <w:rFonts w:asciiTheme="minorHAnsi" w:eastAsia="Times New Roman" w:hAnsiTheme="minorHAnsi" w:cs="Helvetica"/>
          <w:color w:val="575757"/>
          <w:szCs w:val="24"/>
          <w:lang w:val="bg-BG"/>
        </w:rPr>
        <w:t>е да се насърчат предприятията да преценяват цялостното оповестяване, отнасящо се до конкретна тема във финансовите им отчети, и дали предоставената информация удовлетворява информационните нужди на потребителите по отношение на тази тема</w:t>
      </w:r>
      <w:r w:rsidR="00865B41" w:rsidRPr="006D456E">
        <w:rPr>
          <w:rFonts w:asciiTheme="minorHAnsi" w:eastAsia="Times New Roman" w:hAnsiTheme="minorHAnsi" w:cs="Helvetica"/>
          <w:color w:val="575757"/>
          <w:szCs w:val="24"/>
        </w:rPr>
        <w:t>.</w:t>
      </w:r>
    </w:p>
    <w:p w:rsidR="00865B41" w:rsidRPr="006D456E" w:rsidRDefault="00CD31D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lastRenderedPageBreak/>
        <w:t>Дванадесет от четиринадесетте членове на Съвета изразиха съгласие, а двама – несъгласие с това решение</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14399C"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очаква да продължи на бъдещи свои заседания с обсъжданията относно насоките, които Съветът да използва при разработване и изготвяне на проект на изискванията за оповестяване</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6D456E" w:rsidRDefault="007700D7"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3" w:name="3"/>
      <w:r>
        <w:rPr>
          <w:rFonts w:asciiTheme="minorHAnsi" w:eastAsia="Times New Roman" w:hAnsiTheme="minorHAnsi" w:cs="Helvetica"/>
          <w:b/>
          <w:bCs/>
          <w:color w:val="CD3333"/>
          <w:sz w:val="34"/>
          <w:szCs w:val="34"/>
          <w:lang w:val="bg-BG"/>
        </w:rPr>
        <w:t>Бизнес комбинации под общ контрол</w:t>
      </w:r>
      <w:r w:rsidR="00865B41" w:rsidRPr="006D456E">
        <w:rPr>
          <w:rFonts w:asciiTheme="minorHAnsi" w:eastAsia="Times New Roman" w:hAnsiTheme="minorHAnsi" w:cs="Helvetica"/>
          <w:b/>
          <w:bCs/>
          <w:color w:val="CD3333"/>
          <w:sz w:val="34"/>
          <w:szCs w:val="34"/>
        </w:rPr>
        <w:t xml:space="preserve"> (</w:t>
      </w:r>
      <w:r w:rsidR="00A45D01">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23)</w:t>
      </w:r>
      <w:bookmarkEnd w:id="3"/>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23 май 2018 г. Съветът проведе заседание, за да обсъди</w:t>
      </w:r>
      <w:r w:rsidRPr="006D456E">
        <w:rPr>
          <w:rFonts w:asciiTheme="minorHAnsi" w:eastAsia="Times New Roman" w:hAnsiTheme="minorHAnsi" w:cs="Helvetica"/>
          <w:color w:val="575757"/>
          <w:szCs w:val="24"/>
        </w:rPr>
        <w:t xml:space="preserve"> </w:t>
      </w:r>
      <w:r w:rsidR="00BC0A05">
        <w:rPr>
          <w:rFonts w:asciiTheme="minorHAnsi" w:eastAsia="Times New Roman" w:hAnsiTheme="minorHAnsi" w:cs="Helvetica"/>
          <w:color w:val="575757"/>
          <w:szCs w:val="24"/>
          <w:lang w:val="bg-BG"/>
        </w:rPr>
        <w:t>изследователския проект, посветен на бизнес комбинациите под общ контрол</w:t>
      </w:r>
      <w:r w:rsidR="00865B41" w:rsidRPr="006D456E">
        <w:rPr>
          <w:rFonts w:asciiTheme="minorHAnsi" w:eastAsia="Times New Roman" w:hAnsiTheme="minorHAnsi" w:cs="Helvetica"/>
          <w:color w:val="575757"/>
          <w:szCs w:val="24"/>
        </w:rPr>
        <w:t>.</w:t>
      </w:r>
    </w:p>
    <w:p w:rsidR="00865B41" w:rsidRPr="006D456E" w:rsidRDefault="00BC0A05"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продължи с обсъжданията на представените през април подходи, които екипът разработва по отношение на подмножество от сделки и операции, попадащи в обхвата на този проект</w:t>
      </w:r>
      <w:r w:rsidR="00865B41" w:rsidRPr="006D456E">
        <w:rPr>
          <w:rFonts w:asciiTheme="minorHAnsi" w:eastAsia="Times New Roman" w:hAnsiTheme="minorHAnsi" w:cs="Helvetica"/>
          <w:color w:val="575757"/>
          <w:szCs w:val="24"/>
        </w:rPr>
        <w:t>.</w:t>
      </w:r>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От Съвета не бе поискано да взема каквито и да е решения</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BC0A05"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очаква да продължи на бъдещи свои заседания с обсъжданията относно методите на счетоводно отчитане на сделки и операции, попадащи в обхвата на проекта</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6D456E" w:rsidRDefault="007700D7"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4" w:name="4"/>
      <w:r>
        <w:rPr>
          <w:rFonts w:asciiTheme="minorHAnsi" w:eastAsia="Times New Roman" w:hAnsiTheme="minorHAnsi" w:cs="Helvetica"/>
          <w:b/>
          <w:bCs/>
          <w:color w:val="CD3333"/>
          <w:sz w:val="34"/>
          <w:szCs w:val="34"/>
          <w:lang w:val="bg-BG"/>
        </w:rPr>
        <w:t>Дейности с регулирани цени</w:t>
      </w:r>
      <w:r w:rsidR="00865B41" w:rsidRPr="006D456E">
        <w:rPr>
          <w:rFonts w:asciiTheme="minorHAnsi" w:eastAsia="Times New Roman" w:hAnsiTheme="minorHAnsi" w:cs="Helvetica"/>
          <w:b/>
          <w:bCs/>
          <w:color w:val="CD3333"/>
          <w:sz w:val="34"/>
          <w:szCs w:val="34"/>
        </w:rPr>
        <w:t xml:space="preserve"> (</w:t>
      </w:r>
      <w:r w:rsidR="00A45D01">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9)</w:t>
      </w:r>
      <w:bookmarkEnd w:id="4"/>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23 май 2018 г. Съветът проведе заседание, за да обсъди</w:t>
      </w:r>
      <w:r w:rsidRPr="006D456E">
        <w:rPr>
          <w:rFonts w:asciiTheme="minorHAnsi" w:eastAsia="Times New Roman" w:hAnsiTheme="minorHAnsi" w:cs="Helvetica"/>
          <w:color w:val="575757"/>
          <w:szCs w:val="24"/>
        </w:rPr>
        <w:t xml:space="preserve"> </w:t>
      </w:r>
      <w:r w:rsidR="00CD6A3F">
        <w:rPr>
          <w:rFonts w:asciiTheme="minorHAnsi" w:eastAsia="Times New Roman" w:hAnsiTheme="minorHAnsi" w:cs="Helvetica"/>
          <w:color w:val="575757"/>
          <w:szCs w:val="24"/>
          <w:lang w:val="bg-BG"/>
        </w:rPr>
        <w:t>разработвания възможен счетоводен модел</w:t>
      </w:r>
      <w:r w:rsidR="00865B41" w:rsidRPr="006D456E">
        <w:rPr>
          <w:rFonts w:asciiTheme="minorHAnsi" w:eastAsia="Times New Roman" w:hAnsiTheme="minorHAnsi" w:cs="Helvetica"/>
          <w:color w:val="575757"/>
          <w:szCs w:val="24"/>
        </w:rPr>
        <w:t xml:space="preserve"> </w:t>
      </w:r>
      <w:r w:rsidR="00CD6A3F">
        <w:rPr>
          <w:rFonts w:asciiTheme="minorHAnsi" w:eastAsia="Times New Roman" w:hAnsiTheme="minorHAnsi" w:cs="Helvetica"/>
          <w:color w:val="575757"/>
          <w:szCs w:val="24"/>
          <w:lang w:val="bg-BG"/>
        </w:rPr>
        <w:t>по отношение на дейности, които са обект на регулиране с определяне на цените/тарифите</w:t>
      </w:r>
      <w:r w:rsidR="00865B41" w:rsidRPr="006D456E">
        <w:rPr>
          <w:rFonts w:asciiTheme="minorHAnsi" w:eastAsia="Times New Roman" w:hAnsiTheme="minorHAnsi" w:cs="Helvetica"/>
          <w:color w:val="575757"/>
          <w:szCs w:val="24"/>
        </w:rPr>
        <w:t xml:space="preserve">. </w:t>
      </w:r>
      <w:r w:rsidR="00CD6A3F">
        <w:rPr>
          <w:rFonts w:asciiTheme="minorHAnsi" w:eastAsia="Times New Roman" w:hAnsiTheme="minorHAnsi" w:cs="Helvetica"/>
          <w:color w:val="575757"/>
          <w:szCs w:val="24"/>
          <w:lang w:val="bg-BG"/>
        </w:rPr>
        <w:t>В частност Съветът обсъди как да се оценяват регулаторните активи</w:t>
      </w:r>
      <w:r w:rsidR="00865B41" w:rsidRPr="006D456E">
        <w:rPr>
          <w:rFonts w:asciiTheme="minorHAnsi" w:eastAsia="Times New Roman" w:hAnsiTheme="minorHAnsi" w:cs="Helvetica"/>
          <w:color w:val="575757"/>
          <w:szCs w:val="24"/>
        </w:rPr>
        <w:t xml:space="preserve"> (</w:t>
      </w:r>
      <w:r w:rsidR="00A45D01">
        <w:rPr>
          <w:rFonts w:asciiTheme="minorHAnsi" w:eastAsia="Times New Roman" w:hAnsiTheme="minorHAnsi" w:cs="Helvetica"/>
          <w:color w:val="575757"/>
          <w:szCs w:val="24"/>
        </w:rPr>
        <w:t>Документ по програмата</w:t>
      </w:r>
      <w:r w:rsidR="00865B41" w:rsidRPr="006D456E">
        <w:rPr>
          <w:rFonts w:asciiTheme="minorHAnsi" w:eastAsia="Times New Roman" w:hAnsiTheme="minorHAnsi" w:cs="Helvetica"/>
          <w:color w:val="575757"/>
          <w:szCs w:val="24"/>
        </w:rPr>
        <w:t xml:space="preserve"> 9</w:t>
      </w:r>
      <w:r w:rsidR="00CD6A3F">
        <w:rPr>
          <w:rFonts w:asciiTheme="minorHAnsi" w:eastAsia="Times New Roman" w:hAnsiTheme="minorHAnsi" w:cs="Helvetica"/>
          <w:color w:val="575757"/>
          <w:szCs w:val="24"/>
          <w:lang w:val="bg-BG"/>
        </w:rPr>
        <w:t>Б</w:t>
      </w:r>
      <w:r w:rsidR="00865B41" w:rsidRPr="006D456E">
        <w:rPr>
          <w:rFonts w:asciiTheme="minorHAnsi" w:eastAsia="Times New Roman" w:hAnsiTheme="minorHAnsi" w:cs="Helvetica"/>
          <w:color w:val="575757"/>
          <w:szCs w:val="24"/>
        </w:rPr>
        <w:t>).</w:t>
      </w:r>
    </w:p>
    <w:p w:rsidR="00865B41" w:rsidRPr="006D456E" w:rsidRDefault="00CD6A3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бе запознат и с</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 xml:space="preserve">основна информация относно счетоводния модел и обобщение на взетите до момента в порядък на работна хипотеза решения </w:t>
      </w:r>
      <w:r w:rsidR="00865B41" w:rsidRPr="006D456E">
        <w:rPr>
          <w:rFonts w:asciiTheme="minorHAnsi" w:eastAsia="Times New Roman" w:hAnsiTheme="minorHAnsi" w:cs="Helvetica"/>
          <w:color w:val="575757"/>
          <w:szCs w:val="24"/>
        </w:rPr>
        <w:t>(</w:t>
      </w:r>
      <w:r w:rsidR="00A45D01">
        <w:rPr>
          <w:rFonts w:asciiTheme="minorHAnsi" w:eastAsia="Times New Roman" w:hAnsiTheme="minorHAnsi" w:cs="Helvetica"/>
          <w:color w:val="575757"/>
          <w:szCs w:val="24"/>
        </w:rPr>
        <w:t>Документ по програмата</w:t>
      </w:r>
      <w:r w:rsidR="00865B41" w:rsidRPr="006D456E">
        <w:rPr>
          <w:rFonts w:asciiTheme="minorHAnsi" w:eastAsia="Times New Roman" w:hAnsiTheme="minorHAnsi" w:cs="Helvetica"/>
          <w:color w:val="575757"/>
          <w:szCs w:val="24"/>
        </w:rPr>
        <w:t xml:space="preserve"> 9A, </w:t>
      </w:r>
      <w:r>
        <w:rPr>
          <w:rFonts w:asciiTheme="minorHAnsi" w:eastAsia="Times New Roman" w:hAnsiTheme="minorHAnsi" w:cs="Helvetica"/>
          <w:color w:val="575757"/>
          <w:szCs w:val="24"/>
          <w:lang w:val="bg-BG"/>
        </w:rPr>
        <w:t>който бе представен единствено с информационна цел</w:t>
      </w:r>
      <w:r w:rsidR="00865B41" w:rsidRPr="006D456E">
        <w:rPr>
          <w:rFonts w:asciiTheme="minorHAnsi" w:eastAsia="Times New Roman" w:hAnsiTheme="minorHAnsi" w:cs="Helvetica"/>
          <w:color w:val="575757"/>
          <w:szCs w:val="24"/>
        </w:rPr>
        <w:t>).</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lastRenderedPageBreak/>
        <w:t>Съветът реши в порядък на работна хипотеза</w:t>
      </w:r>
      <w:r w:rsidR="00CD6A3F">
        <w:rPr>
          <w:rFonts w:asciiTheme="minorHAnsi" w:eastAsia="Times New Roman" w:hAnsiTheme="minorHAnsi" w:cs="Helvetica"/>
          <w:color w:val="575757"/>
          <w:szCs w:val="24"/>
          <w:lang w:val="bg-BG"/>
        </w:rPr>
        <w:t>, че оценяването на регулаторните активи следва да отразява</w:t>
      </w:r>
      <w:r w:rsidR="00865B41" w:rsidRPr="006D456E">
        <w:rPr>
          <w:rFonts w:asciiTheme="minorHAnsi" w:eastAsia="Times New Roman" w:hAnsiTheme="minorHAnsi" w:cs="Helvetica"/>
          <w:color w:val="575757"/>
          <w:szCs w:val="24"/>
        </w:rPr>
        <w:t>:</w:t>
      </w:r>
    </w:p>
    <w:p w:rsidR="00865B41" w:rsidRPr="006D456E" w:rsidRDefault="00CC1DBB" w:rsidP="00865B41">
      <w:pPr>
        <w:widowControl/>
        <w:numPr>
          <w:ilvl w:val="0"/>
          <w:numId w:val="9"/>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приблизителните оценки на бъдещите парични потоци, които ще бъдат генерирани от регулаторните активи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Тези парични потоци включват суми, произтичащи от</w:t>
      </w:r>
      <w:r w:rsidR="00865B41" w:rsidRPr="006D456E">
        <w:rPr>
          <w:rFonts w:asciiTheme="minorHAnsi" w:eastAsia="Times New Roman" w:hAnsiTheme="minorHAnsi" w:cs="Helvetica"/>
          <w:color w:val="575757"/>
          <w:szCs w:val="24"/>
        </w:rPr>
        <w:t>:</w:t>
      </w:r>
    </w:p>
    <w:p w:rsidR="00865B41" w:rsidRPr="006D456E" w:rsidRDefault="00865B41" w:rsidP="00865B41">
      <w:pPr>
        <w:widowControl/>
        <w:numPr>
          <w:ilvl w:val="1"/>
          <w:numId w:val="9"/>
        </w:numPr>
        <w:shd w:val="clear" w:color="auto" w:fill="FFFFFF"/>
        <w:suppressAutoHyphens w:val="0"/>
        <w:spacing w:before="75" w:after="75"/>
        <w:ind w:left="1215"/>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r w:rsidR="00CC1DBB">
        <w:rPr>
          <w:rFonts w:asciiTheme="minorHAnsi" w:eastAsia="Times New Roman" w:hAnsiTheme="minorHAnsi" w:cs="Helvetica"/>
          <w:color w:val="575757"/>
          <w:szCs w:val="24"/>
          <w:lang w:val="bg-BG"/>
        </w:rPr>
        <w:t>себестойността на използваните активи и извършените оперативни разходи</w:t>
      </w:r>
      <w:r w:rsidRPr="006D456E">
        <w:rPr>
          <w:rFonts w:asciiTheme="minorHAnsi" w:eastAsia="Times New Roman" w:hAnsiTheme="minorHAnsi" w:cs="Helvetica"/>
          <w:color w:val="575757"/>
          <w:szCs w:val="24"/>
        </w:rPr>
        <w:t>;</w:t>
      </w:r>
    </w:p>
    <w:p w:rsidR="00865B41" w:rsidRPr="006D456E" w:rsidRDefault="00CC1DBB" w:rsidP="00865B41">
      <w:pPr>
        <w:widowControl/>
        <w:numPr>
          <w:ilvl w:val="1"/>
          <w:numId w:val="9"/>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маржове върху извършените оперативни разходи</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w:t>
      </w:r>
    </w:p>
    <w:p w:rsidR="00865B41" w:rsidRPr="006D456E" w:rsidRDefault="00CC1DBB" w:rsidP="00865B41">
      <w:pPr>
        <w:widowControl/>
        <w:numPr>
          <w:ilvl w:val="1"/>
          <w:numId w:val="9"/>
        </w:numPr>
        <w:shd w:val="clear" w:color="auto" w:fill="FFFFFF"/>
        <w:suppressAutoHyphens w:val="0"/>
        <w:spacing w:before="75" w:after="75"/>
        <w:ind w:left="121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лихви върху</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извършените оперативни разходи</w:t>
      </w:r>
      <w:r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или възвръщаемост върху себестойността на използваните активи</w:t>
      </w:r>
      <w:r w:rsidR="00865B41" w:rsidRPr="006D456E">
        <w:rPr>
          <w:rFonts w:asciiTheme="minorHAnsi" w:eastAsia="Times New Roman" w:hAnsiTheme="minorHAnsi" w:cs="Helvetica"/>
          <w:color w:val="575757"/>
          <w:szCs w:val="24"/>
        </w:rPr>
        <w:t>.</w:t>
      </w:r>
    </w:p>
    <w:p w:rsidR="00865B41" w:rsidRPr="006D456E" w:rsidRDefault="00CC1DBB" w:rsidP="00865B41">
      <w:pPr>
        <w:widowControl/>
        <w:numPr>
          <w:ilvl w:val="0"/>
          <w:numId w:val="9"/>
        </w:numPr>
        <w:shd w:val="clear" w:color="auto" w:fill="FFFFFF"/>
        <w:suppressAutoHyphens w:val="0"/>
        <w:spacing w:before="75" w:after="75"/>
        <w:ind w:left="495"/>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дисконтирането на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приблизителните оценки на бъдещите парични потоци, в случай че е налице съществен компонент на финансиране</w:t>
      </w:r>
      <w:r w:rsidR="00865B41" w:rsidRPr="006D456E">
        <w:rPr>
          <w:rFonts w:asciiTheme="minorHAnsi" w:eastAsia="Times New Roman" w:hAnsiTheme="minorHAnsi" w:cs="Helvetica"/>
          <w:color w:val="575757"/>
          <w:szCs w:val="24"/>
        </w:rPr>
        <w:t>.</w:t>
      </w:r>
    </w:p>
    <w:p w:rsidR="00865B41" w:rsidRPr="006D456E" w:rsidRDefault="004C2ED9" w:rsidP="00865B41">
      <w:pPr>
        <w:widowControl/>
        <w:shd w:val="clear" w:color="auto" w:fill="FFFFFF"/>
        <w:suppressAutoHyphens w:val="0"/>
        <w:spacing w:after="300"/>
        <w:rPr>
          <w:rFonts w:asciiTheme="minorHAnsi" w:eastAsia="Times New Roman" w:hAnsiTheme="minorHAnsi" w:cs="Helvetica"/>
          <w:color w:val="575757"/>
          <w:szCs w:val="24"/>
        </w:rPr>
      </w:pPr>
      <w:proofErr w:type="spellStart"/>
      <w:r>
        <w:rPr>
          <w:rFonts w:asciiTheme="minorHAnsi" w:eastAsia="Times New Roman" w:hAnsiTheme="minorHAnsi" w:cs="Helvetica"/>
          <w:color w:val="575757"/>
          <w:szCs w:val="24"/>
        </w:rPr>
        <w:t>Всичките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четиринадесет</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членове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на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Съвета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изразиха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съгласие</w:t>
      </w:r>
      <w:proofErr w:type="spellEnd"/>
      <w:r>
        <w:rPr>
          <w:rFonts w:asciiTheme="minorHAnsi" w:eastAsia="Times New Roman" w:hAnsiTheme="minorHAnsi" w:cs="Helvetica"/>
          <w:color w:val="575757"/>
          <w:szCs w:val="24"/>
        </w:rPr>
        <w:t xml:space="preserve"> с </w:t>
      </w:r>
      <w:proofErr w:type="spellStart"/>
      <w:r>
        <w:rPr>
          <w:rFonts w:asciiTheme="minorHAnsi" w:eastAsia="Times New Roman" w:hAnsiTheme="minorHAnsi" w:cs="Helvetica"/>
          <w:color w:val="575757"/>
          <w:szCs w:val="24"/>
        </w:rPr>
        <w:t>това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решение</w:t>
      </w:r>
      <w:proofErr w:type="spellEnd"/>
      <w:r w:rsidR="00865B41" w:rsidRPr="006D456E">
        <w:rPr>
          <w:rFonts w:asciiTheme="minorHAnsi" w:eastAsia="Times New Roman" w:hAnsiTheme="minorHAnsi" w:cs="Helvetica"/>
          <w:color w:val="575757"/>
          <w:szCs w:val="24"/>
        </w:rPr>
        <w:t>.</w:t>
      </w:r>
    </w:p>
    <w:p w:rsidR="00865B41" w:rsidRPr="001D489B" w:rsidRDefault="00A76BE9" w:rsidP="00865B41">
      <w:pPr>
        <w:widowControl/>
        <w:shd w:val="clear" w:color="auto" w:fill="FFFFFF"/>
        <w:suppressAutoHyphens w:val="0"/>
        <w:spacing w:after="300"/>
        <w:rPr>
          <w:rFonts w:asciiTheme="minorHAnsi" w:eastAsia="Times New Roman" w:hAnsiTheme="minorHAnsi" w:cs="Helvetica"/>
          <w:color w:val="575757"/>
          <w:szCs w:val="24"/>
          <w:lang w:val="bg-BG"/>
        </w:rPr>
      </w:pPr>
      <w:r>
        <w:rPr>
          <w:rFonts w:asciiTheme="minorHAnsi" w:eastAsia="Times New Roman" w:hAnsiTheme="minorHAnsi" w:cs="Helvetica"/>
          <w:color w:val="575757"/>
          <w:szCs w:val="24"/>
          <w:lang w:val="bg-BG"/>
        </w:rPr>
        <w:t>Съветът реши също така в порядък на работна хипотеза</w:t>
      </w:r>
      <w:r w:rsidR="00CC1DBB">
        <w:rPr>
          <w:rFonts w:asciiTheme="minorHAnsi" w:eastAsia="Times New Roman" w:hAnsiTheme="minorHAnsi" w:cs="Helvetica"/>
          <w:color w:val="575757"/>
          <w:szCs w:val="24"/>
          <w:lang w:val="bg-BG"/>
        </w:rPr>
        <w:t>, че оценяването на регулаторните активи следва да отразява промените, ако има такива, в</w:t>
      </w:r>
      <w:r w:rsidRPr="006D456E">
        <w:rPr>
          <w:rFonts w:asciiTheme="minorHAnsi" w:eastAsia="Times New Roman" w:hAnsiTheme="minorHAnsi" w:cs="Helvetica"/>
          <w:color w:val="575757"/>
          <w:szCs w:val="24"/>
        </w:rPr>
        <w:t xml:space="preserve"> </w:t>
      </w:r>
      <w:r w:rsidR="00CC1DBB">
        <w:rPr>
          <w:rFonts w:asciiTheme="minorHAnsi" w:eastAsia="Times New Roman" w:hAnsiTheme="minorHAnsi" w:cs="Helvetica"/>
          <w:color w:val="575757"/>
          <w:szCs w:val="24"/>
          <w:lang w:val="bg-BG"/>
        </w:rPr>
        <w:t>приблизителните оценки на бъдещите парични потоци, които ще бъдат генерирани от регулаторните активи</w:t>
      </w:r>
      <w:r w:rsidR="001D489B">
        <w:rPr>
          <w:rFonts w:asciiTheme="minorHAnsi" w:eastAsia="Times New Roman" w:hAnsiTheme="minorHAnsi" w:cs="Helvetica"/>
          <w:color w:val="575757"/>
          <w:szCs w:val="24"/>
        </w:rPr>
        <w:t>.</w:t>
      </w:r>
    </w:p>
    <w:p w:rsidR="00865B41" w:rsidRPr="006D456E" w:rsidRDefault="004C2ED9" w:rsidP="00865B41">
      <w:pPr>
        <w:widowControl/>
        <w:shd w:val="clear" w:color="auto" w:fill="FFFFFF"/>
        <w:suppressAutoHyphens w:val="0"/>
        <w:spacing w:after="300"/>
        <w:rPr>
          <w:rFonts w:asciiTheme="minorHAnsi" w:eastAsia="Times New Roman" w:hAnsiTheme="minorHAnsi" w:cs="Helvetica"/>
          <w:color w:val="575757"/>
          <w:szCs w:val="24"/>
        </w:rPr>
      </w:pPr>
      <w:proofErr w:type="spellStart"/>
      <w:r>
        <w:rPr>
          <w:rFonts w:asciiTheme="minorHAnsi" w:eastAsia="Times New Roman" w:hAnsiTheme="minorHAnsi" w:cs="Helvetica"/>
          <w:color w:val="575757"/>
          <w:szCs w:val="24"/>
        </w:rPr>
        <w:t>Всичките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четиринадесет</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членове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на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Съвета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изразиха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съгласие</w:t>
      </w:r>
      <w:proofErr w:type="spellEnd"/>
      <w:r>
        <w:rPr>
          <w:rFonts w:asciiTheme="minorHAnsi" w:eastAsia="Times New Roman" w:hAnsiTheme="minorHAnsi" w:cs="Helvetica"/>
          <w:color w:val="575757"/>
          <w:szCs w:val="24"/>
        </w:rPr>
        <w:t xml:space="preserve"> с </w:t>
      </w:r>
      <w:proofErr w:type="spellStart"/>
      <w:r>
        <w:rPr>
          <w:rFonts w:asciiTheme="minorHAnsi" w:eastAsia="Times New Roman" w:hAnsiTheme="minorHAnsi" w:cs="Helvetica"/>
          <w:color w:val="575757"/>
          <w:szCs w:val="24"/>
        </w:rPr>
        <w:t>това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решение</w:t>
      </w:r>
      <w:proofErr w:type="spellEnd"/>
      <w:r w:rsidR="00865B41" w:rsidRPr="006D456E">
        <w:rPr>
          <w:rFonts w:asciiTheme="minorHAnsi" w:eastAsia="Times New Roman" w:hAnsiTheme="minorHAnsi" w:cs="Helvetica"/>
          <w:color w:val="575757"/>
          <w:szCs w:val="24"/>
        </w:rPr>
        <w:t>.</w:t>
      </w:r>
    </w:p>
    <w:p w:rsidR="00865B41" w:rsidRPr="006D456E" w:rsidRDefault="00A76BE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също така в порядък на работна хипотеза,</w:t>
      </w:r>
      <w:r w:rsidR="00865B41" w:rsidRPr="006D456E">
        <w:rPr>
          <w:rFonts w:asciiTheme="minorHAnsi" w:eastAsia="Times New Roman" w:hAnsiTheme="minorHAnsi" w:cs="Helvetica"/>
          <w:color w:val="575757"/>
          <w:szCs w:val="24"/>
        </w:rPr>
        <w:t xml:space="preserve"> </w:t>
      </w:r>
      <w:r w:rsidR="00CC1DBB">
        <w:rPr>
          <w:rFonts w:asciiTheme="minorHAnsi" w:eastAsia="Times New Roman" w:hAnsiTheme="minorHAnsi" w:cs="Helvetica"/>
          <w:color w:val="575757"/>
          <w:szCs w:val="24"/>
          <w:lang w:val="bg-BG"/>
        </w:rPr>
        <w:t>че дисконтовият процент, установен при първоначално признаване, следва да остава без промяна при последващото оценяване на регулаторните активи</w:t>
      </w:r>
      <w:r w:rsidR="00865B41" w:rsidRPr="006D456E">
        <w:rPr>
          <w:rFonts w:asciiTheme="minorHAnsi" w:eastAsia="Times New Roman" w:hAnsiTheme="minorHAnsi" w:cs="Helvetica"/>
          <w:color w:val="575757"/>
          <w:szCs w:val="24"/>
        </w:rPr>
        <w:t>.</w:t>
      </w:r>
    </w:p>
    <w:p w:rsidR="00865B41" w:rsidRPr="006D456E" w:rsidRDefault="004C2ED9" w:rsidP="00865B41">
      <w:pPr>
        <w:widowControl/>
        <w:shd w:val="clear" w:color="auto" w:fill="FFFFFF"/>
        <w:suppressAutoHyphens w:val="0"/>
        <w:spacing w:after="300"/>
        <w:rPr>
          <w:rFonts w:asciiTheme="minorHAnsi" w:eastAsia="Times New Roman" w:hAnsiTheme="minorHAnsi" w:cs="Helvetica"/>
          <w:color w:val="575757"/>
          <w:szCs w:val="24"/>
        </w:rPr>
      </w:pPr>
      <w:proofErr w:type="spellStart"/>
      <w:r>
        <w:rPr>
          <w:rFonts w:asciiTheme="minorHAnsi" w:eastAsia="Times New Roman" w:hAnsiTheme="minorHAnsi" w:cs="Helvetica"/>
          <w:color w:val="575757"/>
          <w:szCs w:val="24"/>
        </w:rPr>
        <w:t>Всичките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четиринадесет</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членове</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на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Съвета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изразиха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съгласие</w:t>
      </w:r>
      <w:proofErr w:type="spellEnd"/>
      <w:r>
        <w:rPr>
          <w:rFonts w:asciiTheme="minorHAnsi" w:eastAsia="Times New Roman" w:hAnsiTheme="minorHAnsi" w:cs="Helvetica"/>
          <w:color w:val="575757"/>
          <w:szCs w:val="24"/>
        </w:rPr>
        <w:t xml:space="preserve"> с </w:t>
      </w:r>
      <w:proofErr w:type="spellStart"/>
      <w:r>
        <w:rPr>
          <w:rFonts w:asciiTheme="minorHAnsi" w:eastAsia="Times New Roman" w:hAnsiTheme="minorHAnsi" w:cs="Helvetica"/>
          <w:color w:val="575757"/>
          <w:szCs w:val="24"/>
        </w:rPr>
        <w:t>това</w:t>
      </w:r>
      <w:proofErr w:type="spellEnd"/>
      <w:r>
        <w:rPr>
          <w:rFonts w:asciiTheme="minorHAnsi" w:eastAsia="Times New Roman" w:hAnsiTheme="minorHAnsi" w:cs="Helvetica"/>
          <w:color w:val="575757"/>
          <w:szCs w:val="24"/>
        </w:rPr>
        <w:t xml:space="preserve"> </w:t>
      </w:r>
      <w:proofErr w:type="spellStart"/>
      <w:r>
        <w:rPr>
          <w:rFonts w:asciiTheme="minorHAnsi" w:eastAsia="Times New Roman" w:hAnsiTheme="minorHAnsi" w:cs="Helvetica"/>
          <w:color w:val="575757"/>
          <w:szCs w:val="24"/>
        </w:rPr>
        <w:t>решение</w:t>
      </w:r>
      <w:proofErr w:type="spellEnd"/>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На бъдещо свое заседание Съветът ще обсъди </w:t>
      </w:r>
      <w:r w:rsidR="00CC1DBB">
        <w:rPr>
          <w:rFonts w:asciiTheme="minorHAnsi" w:eastAsia="Times New Roman" w:hAnsiTheme="minorHAnsi" w:cs="Helvetica"/>
          <w:color w:val="575757"/>
          <w:szCs w:val="24"/>
          <w:lang w:val="bg-BG"/>
        </w:rPr>
        <w:t>допълнителни аспекти на оценяването на регулаторни активи и регулаторни пасиви</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6D456E" w:rsidRDefault="007700D7"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5" w:name="5"/>
      <w:r>
        <w:rPr>
          <w:rFonts w:asciiTheme="minorHAnsi" w:eastAsia="Times New Roman" w:hAnsiTheme="minorHAnsi" w:cs="Helvetica"/>
          <w:b/>
          <w:bCs/>
          <w:color w:val="CD3333"/>
          <w:sz w:val="34"/>
          <w:szCs w:val="34"/>
          <w:lang w:val="bg-BG"/>
        </w:rPr>
        <w:t>Репутация и обезценка</w:t>
      </w:r>
      <w:r w:rsidR="00865B41" w:rsidRPr="006D456E">
        <w:rPr>
          <w:rFonts w:asciiTheme="minorHAnsi" w:eastAsia="Times New Roman" w:hAnsiTheme="minorHAnsi" w:cs="Helvetica"/>
          <w:b/>
          <w:bCs/>
          <w:color w:val="CD3333"/>
          <w:sz w:val="34"/>
          <w:szCs w:val="34"/>
        </w:rPr>
        <w:t xml:space="preserve"> (</w:t>
      </w:r>
      <w:r w:rsidR="00A45D01">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18)</w:t>
      </w:r>
      <w:bookmarkEnd w:id="5"/>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23 май 2018 г. Съветът проведе заседание, за да продължи с обсъжданията по проекта, посветен на репутацията и обезценката</w:t>
      </w:r>
      <w:r w:rsidR="00865B41" w:rsidRPr="006D456E">
        <w:rPr>
          <w:rFonts w:asciiTheme="minorHAnsi" w:eastAsia="Times New Roman" w:hAnsiTheme="minorHAnsi" w:cs="Helvetica"/>
          <w:color w:val="575757"/>
          <w:szCs w:val="24"/>
        </w:rPr>
        <w:t>.</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в порядък на работна хипотеза</w:t>
      </w:r>
      <w:r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да не разработва документ, който да има за цел получаването на обратна информация единствено относно</w:t>
      </w:r>
      <w:r w:rsidR="00865B41"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използването на непризнатия оперативен резерв на единица, генерираща парични потоци</w:t>
      </w:r>
      <w:r w:rsidR="00865B41"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 xml:space="preserve">или група </w:t>
      </w:r>
      <w:r w:rsidR="005F2D94">
        <w:rPr>
          <w:rFonts w:asciiTheme="minorHAnsi" w:eastAsia="Times New Roman" w:hAnsiTheme="minorHAnsi" w:cs="Helvetica"/>
          <w:color w:val="575757"/>
          <w:szCs w:val="24"/>
          <w:lang w:val="bg-BG"/>
        </w:rPr>
        <w:lastRenderedPageBreak/>
        <w:t>единици</w:t>
      </w:r>
      <w:r w:rsidR="00865B41"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като допълнителна входяща информация при тестване за обезценка на репутацията</w:t>
      </w:r>
      <w:r w:rsidR="00865B41" w:rsidRPr="006D456E">
        <w:rPr>
          <w:rFonts w:asciiTheme="minorHAnsi" w:eastAsia="Times New Roman" w:hAnsiTheme="minorHAnsi" w:cs="Helvetica"/>
          <w:color w:val="575757"/>
          <w:szCs w:val="24"/>
        </w:rPr>
        <w:t>.</w:t>
      </w:r>
    </w:p>
    <w:p w:rsidR="00865B41" w:rsidRPr="006D456E" w:rsidRDefault="00CD31D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Девет от четиринадесетте членове на Съвета изразиха съгласие, а петима – несъгласие с това решение</w:t>
      </w:r>
      <w:r w:rsidR="00865B41" w:rsidRPr="006D456E">
        <w:rPr>
          <w:rFonts w:asciiTheme="minorHAnsi" w:eastAsia="Times New Roman" w:hAnsiTheme="minorHAnsi" w:cs="Helvetica"/>
          <w:color w:val="575757"/>
          <w:szCs w:val="24"/>
        </w:rPr>
        <w:t>.</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в порядък на работна хипотеза</w:t>
      </w:r>
      <w:r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да си постави за цел включването в изчислението на стойността в употреба</w:t>
      </w:r>
      <w:r w:rsidR="00865B41" w:rsidRPr="006D456E">
        <w:rPr>
          <w:rFonts w:asciiTheme="minorHAnsi" w:eastAsia="Times New Roman" w:hAnsiTheme="minorHAnsi" w:cs="Helvetica"/>
          <w:color w:val="575757"/>
          <w:szCs w:val="24"/>
        </w:rPr>
        <w:t xml:space="preserve"> </w:t>
      </w:r>
      <w:r w:rsidR="005F2D94">
        <w:rPr>
          <w:rFonts w:asciiTheme="minorHAnsi" w:eastAsia="Times New Roman" w:hAnsiTheme="minorHAnsi" w:cs="Helvetica"/>
          <w:color w:val="575757"/>
          <w:szCs w:val="24"/>
          <w:lang w:val="bg-BG"/>
        </w:rPr>
        <w:t>на очакваните парични потоци от бъдещо преструктуриране и бъдещо подобряване на представянето, които ръководството по-вероятно би предприело</w:t>
      </w:r>
      <w:r w:rsidR="00865B41" w:rsidRPr="006D456E">
        <w:rPr>
          <w:rFonts w:asciiTheme="minorHAnsi" w:eastAsia="Times New Roman" w:hAnsiTheme="minorHAnsi" w:cs="Helvetica"/>
          <w:color w:val="575757"/>
          <w:szCs w:val="24"/>
        </w:rPr>
        <w:t>.</w:t>
      </w:r>
    </w:p>
    <w:p w:rsidR="00865B41" w:rsidRPr="006D456E" w:rsidRDefault="00CD31D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Тринадесет от четиринадесетте членове на Съвета изразиха съгласие, а един – несъгласие с това решение</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бъдещо свое заседание Съветът ще продължи с обсъжданията относно формата и съдържанието на документа за консултации, който да бъде издаден като следващ етап в реализацията на проекта</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6D456E" w:rsidRDefault="00A45D01"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6" w:name="6"/>
      <w:r>
        <w:rPr>
          <w:rFonts w:asciiTheme="minorHAnsi" w:eastAsia="Times New Roman" w:hAnsiTheme="minorHAnsi" w:cs="Helvetica"/>
          <w:b/>
          <w:bCs/>
          <w:color w:val="CD3333"/>
          <w:sz w:val="34"/>
          <w:szCs w:val="34"/>
        </w:rPr>
        <w:t>МСФО</w:t>
      </w:r>
      <w:r w:rsidR="00865B41" w:rsidRPr="006D456E">
        <w:rPr>
          <w:rFonts w:asciiTheme="minorHAnsi" w:eastAsia="Times New Roman" w:hAnsiTheme="minorHAnsi" w:cs="Helvetica"/>
          <w:b/>
          <w:bCs/>
          <w:color w:val="CD3333"/>
          <w:sz w:val="34"/>
          <w:szCs w:val="34"/>
        </w:rPr>
        <w:t xml:space="preserve"> 16 </w:t>
      </w:r>
      <w:r w:rsidR="007700D7">
        <w:rPr>
          <w:rFonts w:asciiTheme="minorHAnsi" w:eastAsia="Times New Roman" w:hAnsiTheme="minorHAnsi" w:cs="Helvetica"/>
          <w:b/>
          <w:bCs/>
          <w:i/>
          <w:iCs/>
          <w:color w:val="CD3333"/>
          <w:sz w:val="34"/>
          <w:szCs w:val="34"/>
          <w:lang w:val="bg-BG"/>
        </w:rPr>
        <w:t>Лизинг</w:t>
      </w:r>
      <w:r w:rsidR="00865B41" w:rsidRPr="006D456E">
        <w:rPr>
          <w:rFonts w:asciiTheme="minorHAnsi" w:eastAsia="Times New Roman" w:hAnsiTheme="minorHAnsi" w:cs="Helvetica"/>
          <w:b/>
          <w:bCs/>
          <w:color w:val="CD3333"/>
          <w:sz w:val="34"/>
          <w:szCs w:val="34"/>
        </w:rPr>
        <w:t>—</w:t>
      </w:r>
      <w:r w:rsidR="007700D7">
        <w:rPr>
          <w:rFonts w:asciiTheme="minorHAnsi" w:eastAsia="Times New Roman" w:hAnsiTheme="minorHAnsi" w:cs="Helvetica"/>
          <w:b/>
          <w:bCs/>
          <w:color w:val="CD3333"/>
          <w:sz w:val="34"/>
          <w:szCs w:val="34"/>
          <w:lang w:val="bg-BG"/>
        </w:rPr>
        <w:t>Лизингови стимули</w:t>
      </w:r>
      <w:r w:rsidR="00865B41" w:rsidRPr="006D456E">
        <w:rPr>
          <w:rFonts w:asciiTheme="minorHAnsi" w:eastAsia="Times New Roman" w:hAnsiTheme="minorHAnsi" w:cs="Helvetica"/>
          <w:b/>
          <w:bCs/>
          <w:i/>
          <w:iCs/>
          <w:color w:val="CD3333"/>
          <w:sz w:val="34"/>
          <w:szCs w:val="34"/>
        </w:rPr>
        <w:t>—</w:t>
      </w:r>
      <w:r w:rsidR="007700D7">
        <w:rPr>
          <w:rFonts w:asciiTheme="minorHAnsi" w:eastAsia="Times New Roman" w:hAnsiTheme="minorHAnsi" w:cs="Helvetica"/>
          <w:b/>
          <w:bCs/>
          <w:color w:val="CD3333"/>
          <w:sz w:val="34"/>
          <w:szCs w:val="34"/>
          <w:lang w:val="bg-BG"/>
        </w:rPr>
        <w:t>годишно подобрение</w:t>
      </w:r>
      <w:r w:rsidR="00865B41" w:rsidRPr="006D456E">
        <w:rPr>
          <w:rFonts w:asciiTheme="minorHAnsi" w:eastAsia="Times New Roman" w:hAnsiTheme="minorHAnsi" w:cs="Helvetica"/>
          <w:b/>
          <w:bCs/>
          <w:color w:val="CD3333"/>
          <w:sz w:val="34"/>
          <w:szCs w:val="34"/>
        </w:rPr>
        <w:t xml:space="preserve"> (</w:t>
      </w:r>
      <w:r>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12)</w:t>
      </w:r>
      <w:bookmarkEnd w:id="6"/>
    </w:p>
    <w:p w:rsidR="00865B41" w:rsidRPr="006D456E" w:rsidRDefault="00B820A9"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обсъди предложение за изменение на Пример за илюстрация</w:t>
      </w:r>
      <w:r w:rsidR="00865B41" w:rsidRPr="006D456E">
        <w:rPr>
          <w:rFonts w:asciiTheme="minorHAnsi" w:eastAsia="Times New Roman" w:hAnsiTheme="minorHAnsi" w:cs="Helvetica"/>
          <w:color w:val="575757"/>
          <w:szCs w:val="24"/>
        </w:rPr>
        <w:t xml:space="preserve"> 13</w:t>
      </w:r>
      <w:r>
        <w:rPr>
          <w:rFonts w:asciiTheme="minorHAnsi" w:eastAsia="Times New Roman" w:hAnsiTheme="minorHAnsi" w:cs="Helvetica"/>
          <w:color w:val="575757"/>
          <w:szCs w:val="24"/>
          <w:lang w:val="bg-BG"/>
        </w:rPr>
        <w:t>, придружаващ</w:t>
      </w:r>
      <w:r w:rsidR="00865B41" w:rsidRPr="006D456E">
        <w:rPr>
          <w:rFonts w:asciiTheme="minorHAnsi" w:eastAsia="Times New Roman" w:hAnsiTheme="minorHAnsi" w:cs="Helvetica"/>
          <w:color w:val="575757"/>
          <w:szCs w:val="24"/>
        </w:rPr>
        <w:t xml:space="preserve"> </w:t>
      </w:r>
      <w:r w:rsidR="00A45D01">
        <w:rPr>
          <w:rFonts w:asciiTheme="minorHAnsi" w:eastAsia="Times New Roman" w:hAnsiTheme="minorHAnsi" w:cs="Helvetica"/>
          <w:color w:val="575757"/>
          <w:szCs w:val="24"/>
        </w:rPr>
        <w:t>МСФО</w:t>
      </w:r>
      <w:r w:rsidR="00865B41" w:rsidRPr="006D456E">
        <w:rPr>
          <w:rFonts w:asciiTheme="minorHAnsi" w:eastAsia="Times New Roman" w:hAnsiTheme="minorHAnsi" w:cs="Helvetica"/>
          <w:color w:val="575757"/>
          <w:szCs w:val="24"/>
        </w:rPr>
        <w:t xml:space="preserve"> 16</w:t>
      </w:r>
      <w:r w:rsidR="00725078">
        <w:rPr>
          <w:rFonts w:asciiTheme="minorHAnsi" w:eastAsia="Times New Roman" w:hAnsiTheme="minorHAnsi" w:cs="Helvetica"/>
          <w:color w:val="575757"/>
          <w:szCs w:val="24"/>
        </w:rPr>
        <w:t xml:space="preserve"> </w:t>
      </w:r>
      <w:r>
        <w:rPr>
          <w:rFonts w:asciiTheme="minorHAnsi" w:eastAsia="Times New Roman" w:hAnsiTheme="minorHAnsi" w:cs="Helvetica"/>
          <w:i/>
          <w:iCs/>
          <w:color w:val="575757"/>
          <w:szCs w:val="24"/>
          <w:lang w:val="bg-BG"/>
        </w:rPr>
        <w:t>Лизинг</w:t>
      </w:r>
      <w:r w:rsidR="00725078">
        <w:rPr>
          <w:rFonts w:asciiTheme="minorHAnsi" w:eastAsia="Times New Roman" w:hAnsiTheme="minorHAnsi" w:cs="Helvetica"/>
          <w:i/>
          <w:iCs/>
          <w:color w:val="575757"/>
          <w:szCs w:val="24"/>
        </w:rPr>
        <w:t xml:space="preserve">, </w:t>
      </w:r>
      <w:r>
        <w:rPr>
          <w:rFonts w:asciiTheme="minorHAnsi" w:eastAsia="Times New Roman" w:hAnsiTheme="minorHAnsi" w:cs="Helvetica"/>
          <w:color w:val="575757"/>
          <w:szCs w:val="24"/>
          <w:lang w:val="bg-BG"/>
        </w:rPr>
        <w:t>като част от следващите годишни подобрения на МСФО стандартите</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Предложеното изменение ще отстрани от примера</w:t>
      </w:r>
      <w:r w:rsidR="00865B41" w:rsidRPr="006D456E">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илюстрацията на възстановяването от лизингодателя на подобрения, направени в наетото имущество</w:t>
      </w:r>
      <w:r w:rsidR="00865B41" w:rsidRPr="006D456E">
        <w:rPr>
          <w:rFonts w:asciiTheme="minorHAnsi" w:eastAsia="Times New Roman" w:hAnsiTheme="minorHAnsi" w:cs="Helvetica"/>
          <w:color w:val="575757"/>
          <w:szCs w:val="24"/>
        </w:rPr>
        <w:t>.</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реши в порядък на работна хипотеза</w:t>
      </w:r>
      <w:r w:rsidRPr="006D456E">
        <w:rPr>
          <w:rFonts w:asciiTheme="minorHAnsi" w:eastAsia="Times New Roman" w:hAnsiTheme="minorHAnsi" w:cs="Helvetica"/>
          <w:color w:val="575757"/>
          <w:szCs w:val="24"/>
        </w:rPr>
        <w:t xml:space="preserve"> </w:t>
      </w:r>
      <w:r w:rsidR="00B820A9">
        <w:rPr>
          <w:rFonts w:asciiTheme="minorHAnsi" w:eastAsia="Times New Roman" w:hAnsiTheme="minorHAnsi" w:cs="Helvetica"/>
          <w:color w:val="575757"/>
          <w:szCs w:val="24"/>
          <w:lang w:val="bg-BG"/>
        </w:rPr>
        <w:t>да предложи изменение на</w:t>
      </w:r>
      <w:r w:rsidR="00865B41" w:rsidRPr="006D456E">
        <w:rPr>
          <w:rFonts w:asciiTheme="minorHAnsi" w:eastAsia="Times New Roman" w:hAnsiTheme="minorHAnsi" w:cs="Helvetica"/>
          <w:color w:val="575757"/>
          <w:szCs w:val="24"/>
        </w:rPr>
        <w:t xml:space="preserve"> </w:t>
      </w:r>
      <w:r w:rsidR="00B820A9">
        <w:rPr>
          <w:rFonts w:asciiTheme="minorHAnsi" w:eastAsia="Times New Roman" w:hAnsiTheme="minorHAnsi" w:cs="Helvetica"/>
          <w:color w:val="575757"/>
          <w:szCs w:val="24"/>
          <w:lang w:val="bg-BG"/>
        </w:rPr>
        <w:t>Пример за илюстрация</w:t>
      </w:r>
      <w:r w:rsidR="00B820A9" w:rsidRPr="006D456E">
        <w:rPr>
          <w:rFonts w:asciiTheme="minorHAnsi" w:eastAsia="Times New Roman" w:hAnsiTheme="minorHAnsi" w:cs="Helvetica"/>
          <w:color w:val="575757"/>
          <w:szCs w:val="24"/>
        </w:rPr>
        <w:t xml:space="preserve"> 13</w:t>
      </w:r>
      <w:r w:rsidR="00B820A9">
        <w:rPr>
          <w:rFonts w:asciiTheme="minorHAnsi" w:eastAsia="Times New Roman" w:hAnsiTheme="minorHAnsi" w:cs="Helvetica"/>
          <w:color w:val="575757"/>
          <w:szCs w:val="24"/>
          <w:lang w:val="bg-BG"/>
        </w:rPr>
        <w:t>, като част от следващите годишни подобрения на МСФО стандартите</w:t>
      </w:r>
      <w:r w:rsidR="00865B41" w:rsidRPr="006D456E">
        <w:rPr>
          <w:rFonts w:asciiTheme="minorHAnsi" w:eastAsia="Times New Roman" w:hAnsiTheme="minorHAnsi" w:cs="Helvetica"/>
          <w:color w:val="575757"/>
          <w:szCs w:val="24"/>
        </w:rPr>
        <w:t>.</w:t>
      </w:r>
    </w:p>
    <w:p w:rsidR="00865B41" w:rsidRPr="006D456E" w:rsidRDefault="00CD31DF"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Девет от четиринадесетте членове на Съвета изразиха съгласие, а петима – несъгласие с това решение</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7636C3"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бъдещо свое заседание Съветът ще обсъди стъпките от регламентираната процедура</w:t>
      </w:r>
      <w:r w:rsidR="00865B41" w:rsidRPr="006D456E">
        <w:rPr>
          <w:rFonts w:asciiTheme="minorHAnsi" w:eastAsia="Times New Roman" w:hAnsiTheme="minorHAnsi" w:cs="Helvetica"/>
          <w:color w:val="575757"/>
          <w:szCs w:val="24"/>
        </w:rPr>
        <w:t>.</w:t>
      </w:r>
    </w:p>
    <w:p w:rsidR="00865B41" w:rsidRPr="006D456E" w:rsidRDefault="00865B41" w:rsidP="00865B41">
      <w:pPr>
        <w:widowControl/>
        <w:shd w:val="clear" w:color="auto" w:fill="FFFFFF"/>
        <w:suppressAutoHyphens w:val="0"/>
        <w:spacing w:after="300"/>
        <w:rPr>
          <w:rFonts w:asciiTheme="minorHAnsi" w:eastAsia="Times New Roman" w:hAnsiTheme="minorHAnsi" w:cs="Helvetica"/>
          <w:color w:val="575757"/>
          <w:szCs w:val="24"/>
        </w:rPr>
      </w:pPr>
      <w:r w:rsidRPr="006D456E">
        <w:rPr>
          <w:rFonts w:asciiTheme="minorHAnsi" w:eastAsia="Times New Roman" w:hAnsiTheme="minorHAnsi" w:cs="Helvetica"/>
          <w:color w:val="575757"/>
          <w:szCs w:val="24"/>
        </w:rPr>
        <w:t> </w:t>
      </w:r>
    </w:p>
    <w:p w:rsidR="00865B41" w:rsidRPr="006D456E" w:rsidRDefault="00CD31DF" w:rsidP="00865B41">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7" w:name="7"/>
      <w:r>
        <w:rPr>
          <w:rFonts w:asciiTheme="minorHAnsi" w:eastAsia="Times New Roman" w:hAnsiTheme="minorHAnsi" w:cs="Helvetica"/>
          <w:b/>
          <w:bCs/>
          <w:color w:val="CD3333"/>
          <w:sz w:val="34"/>
          <w:szCs w:val="34"/>
          <w:lang w:val="bg-BG"/>
        </w:rPr>
        <w:lastRenderedPageBreak/>
        <w:t>Застрахователни договори</w:t>
      </w:r>
      <w:r w:rsidR="00865B41" w:rsidRPr="006D456E">
        <w:rPr>
          <w:rFonts w:asciiTheme="minorHAnsi" w:eastAsia="Times New Roman" w:hAnsiTheme="minorHAnsi" w:cs="Helvetica"/>
          <w:b/>
          <w:bCs/>
          <w:color w:val="CD3333"/>
          <w:sz w:val="34"/>
          <w:szCs w:val="34"/>
        </w:rPr>
        <w:t xml:space="preserve"> (</w:t>
      </w:r>
      <w:r w:rsidR="00A45D01">
        <w:rPr>
          <w:rFonts w:asciiTheme="minorHAnsi" w:eastAsia="Times New Roman" w:hAnsiTheme="minorHAnsi" w:cs="Helvetica"/>
          <w:b/>
          <w:bCs/>
          <w:color w:val="CD3333"/>
          <w:sz w:val="34"/>
          <w:szCs w:val="34"/>
        </w:rPr>
        <w:t>Документ по програмата</w:t>
      </w:r>
      <w:r w:rsidR="00865B41" w:rsidRPr="006D456E">
        <w:rPr>
          <w:rFonts w:asciiTheme="minorHAnsi" w:eastAsia="Times New Roman" w:hAnsiTheme="minorHAnsi" w:cs="Helvetica"/>
          <w:b/>
          <w:bCs/>
          <w:color w:val="CD3333"/>
          <w:sz w:val="34"/>
          <w:szCs w:val="34"/>
        </w:rPr>
        <w:t xml:space="preserve"> 2)</w:t>
      </w:r>
      <w:bookmarkEnd w:id="7"/>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23 май 2018 г. Съветът проведе заседание, за да бъде запознат с актуална информация във връзка с работата по подкрепа на въвеждането и прилагането на</w:t>
      </w:r>
      <w:r w:rsidR="00865B41" w:rsidRPr="006D456E">
        <w:rPr>
          <w:rFonts w:asciiTheme="minorHAnsi" w:eastAsia="Times New Roman" w:hAnsiTheme="minorHAnsi" w:cs="Helvetica"/>
          <w:color w:val="575757"/>
          <w:szCs w:val="24"/>
        </w:rPr>
        <w:t xml:space="preserve"> </w:t>
      </w:r>
      <w:r w:rsidR="00A45D01">
        <w:rPr>
          <w:rFonts w:asciiTheme="minorHAnsi" w:eastAsia="Times New Roman" w:hAnsiTheme="minorHAnsi" w:cs="Helvetica"/>
          <w:color w:val="575757"/>
          <w:szCs w:val="24"/>
        </w:rPr>
        <w:t>МСФО</w:t>
      </w:r>
      <w:r w:rsidR="00865B41" w:rsidRPr="006D456E">
        <w:rPr>
          <w:rFonts w:asciiTheme="minorHAnsi" w:eastAsia="Times New Roman" w:hAnsiTheme="minorHAnsi" w:cs="Helvetica"/>
          <w:color w:val="575757"/>
          <w:szCs w:val="24"/>
        </w:rPr>
        <w:t xml:space="preserve"> 17</w:t>
      </w:r>
      <w:r>
        <w:rPr>
          <w:rFonts w:asciiTheme="minorHAnsi" w:eastAsia="Times New Roman" w:hAnsiTheme="minorHAnsi" w:cs="Helvetica"/>
          <w:color w:val="575757"/>
          <w:szCs w:val="24"/>
          <w:lang w:val="bg-BG"/>
        </w:rPr>
        <w:t xml:space="preserve"> </w:t>
      </w:r>
      <w:r>
        <w:rPr>
          <w:rFonts w:asciiTheme="minorHAnsi" w:eastAsia="Times New Roman" w:hAnsiTheme="minorHAnsi" w:cs="Helvetica"/>
          <w:i/>
          <w:iCs/>
          <w:color w:val="575757"/>
          <w:szCs w:val="24"/>
          <w:lang w:val="bg-BG"/>
        </w:rPr>
        <w:t xml:space="preserve">Застрахователни договори, </w:t>
      </w:r>
      <w:r>
        <w:rPr>
          <w:rFonts w:asciiTheme="minorHAnsi" w:eastAsia="Times New Roman" w:hAnsiTheme="minorHAnsi" w:cs="Helvetica"/>
          <w:color w:val="575757"/>
          <w:szCs w:val="24"/>
          <w:lang w:val="bg-BG"/>
        </w:rPr>
        <w:t>включително проведеното на 2 май 2018 г. заседание на Целевата група по въпросите на преминаването към</w:t>
      </w:r>
      <w:r w:rsidR="00865B41" w:rsidRPr="006D456E">
        <w:rPr>
          <w:rFonts w:asciiTheme="minorHAnsi" w:eastAsia="Times New Roman" w:hAnsiTheme="minorHAnsi" w:cs="Helvetica"/>
          <w:color w:val="575757"/>
          <w:szCs w:val="24"/>
        </w:rPr>
        <w:t xml:space="preserve"> </w:t>
      </w:r>
      <w:r w:rsidR="00A45D01">
        <w:rPr>
          <w:rFonts w:asciiTheme="minorHAnsi" w:eastAsia="Times New Roman" w:hAnsiTheme="minorHAnsi" w:cs="Helvetica"/>
          <w:color w:val="575757"/>
          <w:szCs w:val="24"/>
        </w:rPr>
        <w:t>МСФО</w:t>
      </w:r>
      <w:r w:rsidR="00865B41" w:rsidRPr="006D456E">
        <w:rPr>
          <w:rFonts w:asciiTheme="minorHAnsi" w:eastAsia="Times New Roman" w:hAnsiTheme="minorHAnsi" w:cs="Helvetica"/>
          <w:color w:val="575757"/>
          <w:szCs w:val="24"/>
        </w:rPr>
        <w:t xml:space="preserve"> 17</w:t>
      </w:r>
      <w:r>
        <w:rPr>
          <w:rFonts w:asciiTheme="minorHAnsi" w:eastAsia="Times New Roman" w:hAnsiTheme="minorHAnsi" w:cs="Helvetica"/>
          <w:color w:val="575757"/>
          <w:szCs w:val="24"/>
          <w:lang w:val="bg-BG"/>
        </w:rPr>
        <w:t xml:space="preserve"> </w:t>
      </w:r>
      <w:r>
        <w:rPr>
          <w:rFonts w:asciiTheme="minorHAnsi" w:eastAsia="Times New Roman" w:hAnsiTheme="minorHAnsi" w:cs="Helvetica"/>
          <w:i/>
          <w:iCs/>
          <w:color w:val="575757"/>
          <w:szCs w:val="24"/>
          <w:lang w:val="bg-BG"/>
        </w:rPr>
        <w:t>Застрахователни договори</w:t>
      </w:r>
      <w:r w:rsidR="00865B41" w:rsidRPr="006D456E">
        <w:rPr>
          <w:rFonts w:asciiTheme="minorHAnsi" w:eastAsia="Times New Roman" w:hAnsiTheme="minorHAnsi" w:cs="Helvetica"/>
          <w:color w:val="575757"/>
          <w:szCs w:val="24"/>
        </w:rPr>
        <w:t>.</w:t>
      </w:r>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От Съвета не бе поискано да взема каквито и да е решения</w:t>
      </w:r>
      <w:r w:rsidR="00865B41" w:rsidRPr="006D456E">
        <w:rPr>
          <w:rFonts w:asciiTheme="minorHAnsi" w:eastAsia="Times New Roman" w:hAnsiTheme="minorHAnsi" w:cs="Helvetica"/>
          <w:color w:val="575757"/>
          <w:szCs w:val="24"/>
        </w:rPr>
        <w:t>.</w:t>
      </w:r>
    </w:p>
    <w:p w:rsidR="00865B41" w:rsidRPr="006D456E" w:rsidRDefault="00A45D01"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865B41" w:rsidRPr="006D456E" w:rsidRDefault="00D54546" w:rsidP="00865B41">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бъдещо свое заседание Съветът ще продължи с обсъжданията във връзка с</w:t>
      </w:r>
      <w:r w:rsidR="00865B41" w:rsidRPr="006D456E">
        <w:rPr>
          <w:rFonts w:asciiTheme="minorHAnsi" w:eastAsia="Times New Roman" w:hAnsiTheme="minorHAnsi" w:cs="Helvetica"/>
          <w:color w:val="575757"/>
          <w:szCs w:val="24"/>
        </w:rPr>
        <w:t xml:space="preserve"> </w:t>
      </w:r>
      <w:r w:rsidR="00A45D01">
        <w:rPr>
          <w:rFonts w:asciiTheme="minorHAnsi" w:eastAsia="Times New Roman" w:hAnsiTheme="minorHAnsi" w:cs="Helvetica"/>
          <w:color w:val="575757"/>
          <w:szCs w:val="24"/>
        </w:rPr>
        <w:t>МСФО</w:t>
      </w:r>
      <w:r w:rsidR="00865B41" w:rsidRPr="006D456E">
        <w:rPr>
          <w:rFonts w:asciiTheme="minorHAnsi" w:eastAsia="Times New Roman" w:hAnsiTheme="minorHAnsi" w:cs="Helvetica"/>
          <w:color w:val="575757"/>
          <w:szCs w:val="24"/>
        </w:rPr>
        <w:t xml:space="preserve"> 17.</w:t>
      </w:r>
    </w:p>
    <w:sectPr w:rsidR="00865B41" w:rsidRPr="006D456E" w:rsidSect="00D7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B0"/>
    <w:multiLevelType w:val="multilevel"/>
    <w:tmpl w:val="4D60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557E"/>
    <w:multiLevelType w:val="multilevel"/>
    <w:tmpl w:val="00D413E4"/>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4E02AF"/>
    <w:multiLevelType w:val="multilevel"/>
    <w:tmpl w:val="5086A06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9A26BE"/>
    <w:multiLevelType w:val="multilevel"/>
    <w:tmpl w:val="68ECA550"/>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8800EE"/>
    <w:multiLevelType w:val="multilevel"/>
    <w:tmpl w:val="D19E4E7A"/>
    <w:lvl w:ilvl="0">
      <w:start w:val="1"/>
      <w:numFmt w:val="russianLower"/>
      <w:lvlText w:val="(%1)"/>
      <w:lvlJc w:val="left"/>
      <w:pPr>
        <w:tabs>
          <w:tab w:val="num" w:pos="644"/>
        </w:tabs>
        <w:ind w:left="644" w:hanging="360"/>
      </w:pPr>
      <w:rPr>
        <w:rFonts w:hint="default"/>
      </w:rPr>
    </w:lvl>
    <w:lvl w:ilvl="1">
      <w:start w:val="1"/>
      <w:numFmt w:val="lowerRoman"/>
      <w:lvlText w:val="%2."/>
      <w:lvlJc w:val="right"/>
      <w:pPr>
        <w:tabs>
          <w:tab w:val="num" w:pos="1364"/>
        </w:tabs>
        <w:ind w:left="1364" w:hanging="360"/>
      </w:pPr>
    </w:lvl>
    <w:lvl w:ilvl="2" w:tentative="1">
      <w:start w:val="1"/>
      <w:numFmt w:val="lowerLetter"/>
      <w:lvlText w:val="%3."/>
      <w:lvlJc w:val="left"/>
      <w:pPr>
        <w:tabs>
          <w:tab w:val="num" w:pos="2084"/>
        </w:tabs>
        <w:ind w:left="2084" w:hanging="360"/>
      </w:pPr>
    </w:lvl>
    <w:lvl w:ilvl="3" w:tentative="1">
      <w:start w:val="1"/>
      <w:numFmt w:val="lowerLetter"/>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Letter"/>
      <w:lvlText w:val="%6."/>
      <w:lvlJc w:val="left"/>
      <w:pPr>
        <w:tabs>
          <w:tab w:val="num" w:pos="4244"/>
        </w:tabs>
        <w:ind w:left="4244" w:hanging="360"/>
      </w:pPr>
    </w:lvl>
    <w:lvl w:ilvl="6" w:tentative="1">
      <w:start w:val="1"/>
      <w:numFmt w:val="lowerLetter"/>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Letter"/>
      <w:lvlText w:val="%9."/>
      <w:lvlJc w:val="left"/>
      <w:pPr>
        <w:tabs>
          <w:tab w:val="num" w:pos="6404"/>
        </w:tabs>
        <w:ind w:left="6404" w:hanging="360"/>
      </w:pPr>
    </w:lvl>
  </w:abstractNum>
  <w:abstractNum w:abstractNumId="5" w15:restartNumberingAfterBreak="0">
    <w:nsid w:val="4E49165F"/>
    <w:multiLevelType w:val="multilevel"/>
    <w:tmpl w:val="6E3C5298"/>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CC65B0"/>
    <w:multiLevelType w:val="multilevel"/>
    <w:tmpl w:val="A962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F25CE"/>
    <w:multiLevelType w:val="multilevel"/>
    <w:tmpl w:val="CCDE0676"/>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DDD1110"/>
    <w:multiLevelType w:val="multilevel"/>
    <w:tmpl w:val="74C075FC"/>
    <w:lvl w:ilvl="0">
      <w:start w:val="1"/>
      <w:numFmt w:val="russianLow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85B7D15"/>
    <w:multiLevelType w:val="hybridMultilevel"/>
    <w:tmpl w:val="A2541FEE"/>
    <w:lvl w:ilvl="0" w:tplc="DB54BC9E">
      <w:start w:val="1"/>
      <w:numFmt w:val="russianLow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5B41"/>
    <w:rsid w:val="000162E6"/>
    <w:rsid w:val="0007298A"/>
    <w:rsid w:val="00083E90"/>
    <w:rsid w:val="0014399C"/>
    <w:rsid w:val="001D489B"/>
    <w:rsid w:val="002737AA"/>
    <w:rsid w:val="002F1383"/>
    <w:rsid w:val="003A3054"/>
    <w:rsid w:val="003A71D4"/>
    <w:rsid w:val="004C2ED9"/>
    <w:rsid w:val="005645F5"/>
    <w:rsid w:val="005874A4"/>
    <w:rsid w:val="005F2D94"/>
    <w:rsid w:val="0060763B"/>
    <w:rsid w:val="00621955"/>
    <w:rsid w:val="006438BC"/>
    <w:rsid w:val="006D456E"/>
    <w:rsid w:val="00725078"/>
    <w:rsid w:val="007636C3"/>
    <w:rsid w:val="007700D7"/>
    <w:rsid w:val="007732BA"/>
    <w:rsid w:val="007F2F8A"/>
    <w:rsid w:val="00865B41"/>
    <w:rsid w:val="008C43C4"/>
    <w:rsid w:val="008F4966"/>
    <w:rsid w:val="0092003E"/>
    <w:rsid w:val="00993640"/>
    <w:rsid w:val="00A20BB6"/>
    <w:rsid w:val="00A45D01"/>
    <w:rsid w:val="00A76BE9"/>
    <w:rsid w:val="00B62095"/>
    <w:rsid w:val="00B820A9"/>
    <w:rsid w:val="00B84CAA"/>
    <w:rsid w:val="00BC0A05"/>
    <w:rsid w:val="00C07C63"/>
    <w:rsid w:val="00CB7EF7"/>
    <w:rsid w:val="00CC1DBB"/>
    <w:rsid w:val="00CD31DF"/>
    <w:rsid w:val="00CD6A3F"/>
    <w:rsid w:val="00CE61EE"/>
    <w:rsid w:val="00D31874"/>
    <w:rsid w:val="00D54546"/>
    <w:rsid w:val="00D74CCB"/>
    <w:rsid w:val="00ED36E6"/>
    <w:rsid w:val="00EF09FC"/>
    <w:rsid w:val="00F4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0C0FB-D0E1-4945-99C3-5881030D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D4"/>
    <w:pPr>
      <w:ind w:left="720"/>
      <w:contextualSpacing/>
    </w:pPr>
  </w:style>
  <w:style w:type="character" w:styleId="Hyperlink">
    <w:name w:val="Hyperlink"/>
    <w:basedOn w:val="DefaultParagraphFont"/>
    <w:uiPriority w:val="99"/>
    <w:unhideWhenUsed/>
    <w:rsid w:val="0077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7972">
      <w:bodyDiv w:val="1"/>
      <w:marLeft w:val="0"/>
      <w:marRight w:val="0"/>
      <w:marTop w:val="0"/>
      <w:marBottom w:val="0"/>
      <w:divBdr>
        <w:top w:val="none" w:sz="0" w:space="0" w:color="auto"/>
        <w:left w:val="none" w:sz="0" w:space="0" w:color="auto"/>
        <w:bottom w:val="none" w:sz="0" w:space="0" w:color="auto"/>
        <w:right w:val="none" w:sz="0" w:space="0" w:color="auto"/>
      </w:divBdr>
      <w:divsChild>
        <w:div w:id="47152873">
          <w:marLeft w:val="0"/>
          <w:marRight w:val="0"/>
          <w:marTop w:val="0"/>
          <w:marBottom w:val="0"/>
          <w:divBdr>
            <w:top w:val="none" w:sz="0" w:space="0" w:color="auto"/>
            <w:left w:val="none" w:sz="0" w:space="0" w:color="auto"/>
            <w:bottom w:val="none" w:sz="0" w:space="0" w:color="auto"/>
            <w:right w:val="none" w:sz="0" w:space="0" w:color="auto"/>
          </w:divBdr>
          <w:divsChild>
            <w:div w:id="2112890899">
              <w:marLeft w:val="0"/>
              <w:marRight w:val="0"/>
              <w:marTop w:val="0"/>
              <w:marBottom w:val="0"/>
              <w:divBdr>
                <w:top w:val="none" w:sz="0" w:space="0" w:color="auto"/>
                <w:left w:val="none" w:sz="0" w:space="0" w:color="auto"/>
                <w:bottom w:val="none" w:sz="0" w:space="0" w:color="auto"/>
                <w:right w:val="none" w:sz="0" w:space="0" w:color="auto"/>
              </w:divBdr>
              <w:divsChild>
                <w:div w:id="1865359959">
                  <w:marLeft w:val="-225"/>
                  <w:marRight w:val="-225"/>
                  <w:marTop w:val="0"/>
                  <w:marBottom w:val="0"/>
                  <w:divBdr>
                    <w:top w:val="none" w:sz="0" w:space="0" w:color="auto"/>
                    <w:left w:val="none" w:sz="0" w:space="0" w:color="auto"/>
                    <w:bottom w:val="none" w:sz="0" w:space="0" w:color="auto"/>
                    <w:right w:val="none" w:sz="0" w:space="0" w:color="auto"/>
                  </w:divBdr>
                  <w:divsChild>
                    <w:div w:id="1596476004">
                      <w:marLeft w:val="0"/>
                      <w:marRight w:val="0"/>
                      <w:marTop w:val="0"/>
                      <w:marBottom w:val="0"/>
                      <w:divBdr>
                        <w:top w:val="none" w:sz="0" w:space="0" w:color="auto"/>
                        <w:left w:val="none" w:sz="0" w:space="0" w:color="auto"/>
                        <w:bottom w:val="none" w:sz="0" w:space="0" w:color="auto"/>
                        <w:right w:val="none" w:sz="0" w:space="0" w:color="auto"/>
                      </w:divBdr>
                      <w:divsChild>
                        <w:div w:id="238951178">
                          <w:marLeft w:val="0"/>
                          <w:marRight w:val="0"/>
                          <w:marTop w:val="525"/>
                          <w:marBottom w:val="0"/>
                          <w:divBdr>
                            <w:top w:val="none" w:sz="0" w:space="0" w:color="auto"/>
                            <w:left w:val="none" w:sz="0" w:space="0" w:color="auto"/>
                            <w:bottom w:val="none" w:sz="0" w:space="0" w:color="auto"/>
                            <w:right w:val="none" w:sz="0" w:space="0" w:color="auto"/>
                          </w:divBdr>
                          <w:divsChild>
                            <w:div w:id="1226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87088">
          <w:marLeft w:val="0"/>
          <w:marRight w:val="0"/>
          <w:marTop w:val="0"/>
          <w:marBottom w:val="0"/>
          <w:divBdr>
            <w:top w:val="none" w:sz="0" w:space="0" w:color="auto"/>
            <w:left w:val="none" w:sz="0" w:space="0" w:color="auto"/>
            <w:bottom w:val="none" w:sz="0" w:space="0" w:color="auto"/>
            <w:right w:val="none" w:sz="0" w:space="0" w:color="auto"/>
          </w:divBdr>
          <w:divsChild>
            <w:div w:id="736516671">
              <w:marLeft w:val="0"/>
              <w:marRight w:val="0"/>
              <w:marTop w:val="0"/>
              <w:marBottom w:val="0"/>
              <w:divBdr>
                <w:top w:val="none" w:sz="0" w:space="0" w:color="auto"/>
                <w:left w:val="none" w:sz="0" w:space="0" w:color="auto"/>
                <w:bottom w:val="none" w:sz="0" w:space="0" w:color="auto"/>
                <w:right w:val="none" w:sz="0" w:space="0" w:color="auto"/>
              </w:divBdr>
              <w:divsChild>
                <w:div w:id="686444911">
                  <w:marLeft w:val="-225"/>
                  <w:marRight w:val="-225"/>
                  <w:marTop w:val="0"/>
                  <w:marBottom w:val="0"/>
                  <w:divBdr>
                    <w:top w:val="none" w:sz="0" w:space="0" w:color="auto"/>
                    <w:left w:val="none" w:sz="0" w:space="0" w:color="auto"/>
                    <w:bottom w:val="none" w:sz="0" w:space="0" w:color="auto"/>
                    <w:right w:val="none" w:sz="0" w:space="0" w:color="auto"/>
                  </w:divBdr>
                  <w:divsChild>
                    <w:div w:id="1739012864">
                      <w:marLeft w:val="0"/>
                      <w:marRight w:val="0"/>
                      <w:marTop w:val="0"/>
                      <w:marBottom w:val="0"/>
                      <w:divBdr>
                        <w:top w:val="none" w:sz="0" w:space="0" w:color="auto"/>
                        <w:left w:val="none" w:sz="0" w:space="0" w:color="auto"/>
                        <w:bottom w:val="none" w:sz="0" w:space="0" w:color="auto"/>
                        <w:right w:val="none" w:sz="0" w:space="0" w:color="auto"/>
                      </w:divBdr>
                    </w:div>
                    <w:div w:id="714887875">
                      <w:marLeft w:val="0"/>
                      <w:marRight w:val="0"/>
                      <w:marTop w:val="0"/>
                      <w:marBottom w:val="0"/>
                      <w:divBdr>
                        <w:top w:val="none" w:sz="0" w:space="0" w:color="auto"/>
                        <w:left w:val="none" w:sz="0" w:space="0" w:color="auto"/>
                        <w:bottom w:val="none" w:sz="0" w:space="0" w:color="auto"/>
                        <w:right w:val="none" w:sz="0" w:space="0" w:color="auto"/>
                      </w:divBdr>
                      <w:divsChild>
                        <w:div w:id="5444600">
                          <w:marLeft w:val="0"/>
                          <w:marRight w:val="0"/>
                          <w:marTop w:val="0"/>
                          <w:marBottom w:val="0"/>
                          <w:divBdr>
                            <w:top w:val="single" w:sz="18" w:space="15" w:color="C6C6C6"/>
                            <w:left w:val="none" w:sz="0" w:space="0" w:color="auto"/>
                            <w:bottom w:val="none" w:sz="0" w:space="0" w:color="auto"/>
                            <w:right w:val="none" w:sz="0" w:space="0" w:color="auto"/>
                          </w:divBdr>
                        </w:div>
                      </w:divsChild>
                    </w:div>
                    <w:div w:id="1536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may-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rs.org/news-and-events/updates/iasb-updates/may-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updates/iasb-updates/may-2018/" TargetMode="External"/><Relationship Id="rId11" Type="http://schemas.openxmlformats.org/officeDocument/2006/relationships/hyperlink" Target="https://www.ifrs.org/news-and-events/updates/iasb-updates/may-2018/" TargetMode="External"/><Relationship Id="rId5" Type="http://schemas.openxmlformats.org/officeDocument/2006/relationships/hyperlink" Target="https://www.ifrs.org/news-and-events/updates/iasb-updates/may-2018/" TargetMode="External"/><Relationship Id="rId10" Type="http://schemas.openxmlformats.org/officeDocument/2006/relationships/hyperlink" Target="https://www.ifrs.org/news-and-events/updates/iasb-updates/may-2018/" TargetMode="External"/><Relationship Id="rId4" Type="http://schemas.openxmlformats.org/officeDocument/2006/relationships/webSettings" Target="webSettings.xml"/><Relationship Id="rId9" Type="http://schemas.openxmlformats.org/officeDocument/2006/relationships/hyperlink" Target="https://www.ifrs.org/news-and-events/updates/iasb-updates/ma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2480</Words>
  <Characters>14758</Characters>
  <Application>Microsoft Office Word</Application>
  <DocSecurity>0</DocSecurity>
  <Lines>278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31</cp:revision>
  <dcterms:created xsi:type="dcterms:W3CDTF">2018-06-08T04:19:00Z</dcterms:created>
  <dcterms:modified xsi:type="dcterms:W3CDTF">2018-06-11T07:16:00Z</dcterms:modified>
</cp:coreProperties>
</file>