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A" w:rsidRPr="00CB4A04" w:rsidRDefault="00CB4A04" w:rsidP="00CB4A04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</w:rPr>
      </w:pPr>
      <w:r w:rsidRPr="00CB4A0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и Съвместен информационен бюлетин на Съвета по международни счетоводни стандарти (IASB) и Съвета на САЩ по финансово-счетоводни стандарти (</w:t>
      </w:r>
      <w:r w:rsidR="002F79AA" w:rsidRPr="00CB4A0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FASB</w:t>
      </w:r>
      <w:r w:rsidRPr="00CB4A04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) – юни 2018 г.</w:t>
      </w:r>
    </w:p>
    <w:p w:rsidR="002F79AA" w:rsidRPr="00EF498A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</w:p>
    <w:p w:rsidR="002F79AA" w:rsidRPr="00CB4A04" w:rsidRDefault="00CB4A04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Настоящият бюлетин на Съвета по международни счетоводни стандарти (IASB) представя предварителните решения на Съвета. Окончателните решения на Съвета по международни счетоводни стандарти относно МСФО стандарти (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>IFRS</w:t>
      </w:r>
      <w:r w:rsidRPr="00CB4A0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Standards), Изменения и Разяснения (IFRIC</w:t>
      </w:r>
      <w:r w:rsidRPr="00CB4A0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Interpretations) се подлагат на официално гласуване, съгласно предвиденото в </w:t>
      </w:r>
      <w:r w:rsidRPr="00CB4A04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>IFRS</w:t>
      </w:r>
      <w:r w:rsidRPr="00CB4A04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IFRS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Interpretation Committee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br/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br/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периода</w:t>
      </w: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0 – 21 юни 2018 г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 </w:t>
      </w: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>проведе публични заседания в офисите на Фондация МСФО в Лондон, Великобритания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CB4A04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5" w:anchor="1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Инициатива за оповестяване</w:t>
        </w:r>
        <w:r w:rsidR="002F79AA" w:rsidRPr="00CB4A0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 (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Принципи на оповестяването</w:t>
        </w:r>
        <w:r w:rsidR="002F79AA" w:rsidRPr="00CB4A0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, 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Целеви преглед на оповестяванията на </w:t>
        </w:r>
        <w:proofErr w:type="gramStart"/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ниво стандарти</w:t>
        </w:r>
        <w:r w:rsidR="002F79AA" w:rsidRPr="00CB4A0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, 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Дефиниция </w:t>
        </w:r>
        <w:r w:rsidR="00B074B5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ниво</w:t>
        </w:r>
        <w:proofErr w:type="gramEnd"/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на същественост</w:t>
        </w:r>
        <w:r w:rsidR="002F79AA" w:rsidRPr="00CB4A0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>)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6" w:anchor="2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Динамично управление на риска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7" w:anchor="3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Изследователска програма</w:t>
        </w:r>
        <w:r w:rsidR="002F79AA" w:rsidRPr="00CB4A04">
          <w:rPr>
            <w:rFonts w:asciiTheme="minorHAnsi" w:eastAsia="Times New Roman" w:hAnsiTheme="minorHAnsi" w:cs="Helvetica"/>
            <w:color w:val="CD3333"/>
            <w:szCs w:val="24"/>
            <w:u w:val="single"/>
          </w:rPr>
          <w:t xml:space="preserve">: 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актуална информация</w:t>
        </w:r>
      </w:hyperlink>
    </w:p>
    <w:p w:rsidR="002F79AA" w:rsidRPr="00592DAF" w:rsidRDefault="00592DAF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</w:pPr>
      <w:r w:rsidRPr="00592DAF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>Реформа на междубанковите лихвени проценти (</w:t>
      </w:r>
      <w:hyperlink r:id="rId8" w:anchor="4" w:history="1">
        <w:r w:rsidR="002F79AA" w:rsidRPr="00592DAF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IBOR</w:t>
        </w:r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)</w:t>
        </w:r>
        <w:r w:rsidR="002F79AA" w:rsidRPr="00592DAF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: </w:t>
        </w:r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предложение за изследователски проект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9" w:anchor="5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Основни финансови отчети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10" w:anchor="6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Застрахователни договори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11" w:anchor="7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Прилагане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12" w:anchor="8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Актуална информация от Консултативната група по ислямски финанси</w:t>
        </w:r>
      </w:hyperlink>
    </w:p>
    <w:p w:rsidR="002F79AA" w:rsidRPr="00CB4A04" w:rsidRDefault="00950BEE" w:rsidP="002F79AA">
      <w:pPr>
        <w:widowControl/>
        <w:numPr>
          <w:ilvl w:val="0"/>
          <w:numId w:val="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hyperlink r:id="rId13" w:anchor="9" w:history="1">
        <w:r w:rsidR="00C56089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Бизнес комбинации под общ контрол</w:t>
        </w:r>
      </w:hyperlink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Наред с това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19 юни 2018 г</w:t>
      </w:r>
      <w:r w:rsidR="003945C5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проведе</w:t>
      </w:r>
      <w:r w:rsidR="00AA091E" w:rsidRPr="00AA091E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AA091E"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>в офисите на Фондация МСФО в Лондон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съвместно заседание със Съвета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(FASB).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Отчитане по сегменти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Основни финансови отчети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Обща рамка за оповестявания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/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Инициатива за оповестяване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Оценяване по справедлива стойност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Репутация и обезценка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Прилагане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Приходи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Лизинг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)</w:t>
      </w:r>
    </w:p>
    <w:p w:rsidR="002F79AA" w:rsidRPr="00CB4A04" w:rsidRDefault="00AA091E" w:rsidP="002F79AA">
      <w:pPr>
        <w:widowControl/>
        <w:numPr>
          <w:ilvl w:val="0"/>
          <w:numId w:val="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Актуална информация по всички останали проекти, които не са разгледани на друго основание</w:t>
      </w:r>
    </w:p>
    <w:p w:rsidR="002F79AA" w:rsidRPr="00CB4A04" w:rsidRDefault="00303F35" w:rsidP="002F79AA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 w:rsidRPr="00001E74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Допълнителна информация</w:t>
      </w:r>
    </w:p>
    <w:p w:rsidR="002F79AA" w:rsidRPr="00CB4A04" w:rsidRDefault="00303F35" w:rsidP="002F79AA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01E7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Предстоящи заседания на 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2F79AA" w:rsidP="002F79AA">
      <w:pPr>
        <w:widowControl/>
        <w:numPr>
          <w:ilvl w:val="0"/>
          <w:numId w:val="3"/>
        </w:numPr>
        <w:shd w:val="clear" w:color="auto" w:fill="F6F6F6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21–25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май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2F79AA" w:rsidRPr="00CB4A04" w:rsidRDefault="002F79AA" w:rsidP="002F79AA">
      <w:pPr>
        <w:widowControl/>
        <w:numPr>
          <w:ilvl w:val="0"/>
          <w:numId w:val="3"/>
        </w:numPr>
        <w:shd w:val="clear" w:color="auto" w:fill="F6F6F6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18–22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юни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2F79AA" w:rsidRPr="00CB4A04" w:rsidRDefault="002F79AA" w:rsidP="002F79AA">
      <w:pPr>
        <w:widowControl/>
        <w:numPr>
          <w:ilvl w:val="0"/>
          <w:numId w:val="3"/>
        </w:numPr>
        <w:shd w:val="clear" w:color="auto" w:fill="F6F6F6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16–20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юли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г.</w:t>
      </w:r>
    </w:p>
    <w:p w:rsidR="002F79AA" w:rsidRPr="00CB4A04" w:rsidRDefault="00CB4A04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Заседание на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  <w:t xml:space="preserve"> </w:t>
      </w:r>
      <w:r w:rsidRPr="00CB4A04"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Съвет</w:t>
      </w:r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а</w:t>
      </w:r>
      <w:r w:rsidRPr="00CB4A04"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 xml:space="preserve"> по международни счетоводни стандарти (IASB)</w:t>
      </w:r>
    </w:p>
    <w:p w:rsidR="002F79AA" w:rsidRPr="00CB4A04" w:rsidRDefault="008816EC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0" w:name="1"/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Инициатива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за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оповестяване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-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Принципи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оповестяването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,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Целеви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преглед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оповестяванията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ниво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стандарти</w:t>
      </w:r>
      <w:proofErr w:type="spellEnd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и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Дефиниция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B074B5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за</w:t>
      </w:r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ниво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на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proofErr w:type="spellStart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същественост</w:t>
      </w:r>
      <w:proofErr w:type="spellEnd"/>
      <w:r w:rsidRPr="008816EC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11)</w:t>
      </w:r>
      <w:bookmarkEnd w:id="0"/>
    </w:p>
    <w:p w:rsidR="002F79AA" w:rsidRPr="00CB4A04" w:rsidRDefault="00CB4A04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20 юни 2018 г.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  <w:lang w:val="bg-BG"/>
        </w:rPr>
        <w:t>проведе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заседание, за да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8816EC" w:rsidP="002F79AA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направи преглед на взаимовръзката и разграничението между проектите, посветени на по-доброто комуникиране при финансовото 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8816EC" w:rsidP="002F79AA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насоки, които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използва, когато в бъдеще разработва и изготвя проектите на изискванията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по-конкретно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процедурата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 разработване на съдържанието на целите и изискванията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8816EC" w:rsidP="002F79AA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направи преглед на краткия списък със стандарти, които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CB4A04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би могъл да подбере за своя целеви преглед на оповестяванията на ниво стандарти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8816EC" w:rsidP="002F79AA">
      <w:pPr>
        <w:widowControl/>
        <w:numPr>
          <w:ilvl w:val="0"/>
          <w:numId w:val="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проведе повторни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обсъждания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във връзка с предложените изменения в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дефиницията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за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ниво на същественост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 разяснителните параграфи към тази дефиниция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4239D7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Проекти</w:t>
      </w:r>
      <w:r w:rsidRPr="004239D7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, посветени на по-доброто комуникиране при финансовото отчитане</w:t>
      </w:r>
      <w:r w:rsidRPr="004239D7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11A)</w:t>
      </w:r>
    </w:p>
    <w:p w:rsidR="002F79AA" w:rsidRPr="00CB4A04" w:rsidRDefault="00CB4A04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хипотеза, че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съществуващата понастоящем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взаимовръзка и разграничение между проектите, посветени на по-доброто комуникиране при финансовото отчитане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са целесъобразни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4239D7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Насоки за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 w:rsidRPr="004239D7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Съвета по международни счетоводни стандарти (IASB) 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общ преглед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 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CB4A04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обобщение на предложения от екипа на Съвета подход във връзка с предоставянето през следващите месеци на вниманието на Съвета на анализ и препоръки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4239D7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Насоки за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</w:t>
      </w:r>
      <w:r w:rsidR="00CB4A04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Съвет</w:t>
      </w:r>
      <w:r w:rsid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а</w:t>
      </w:r>
      <w:r w:rsidR="00CB4A04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по международни счетоводни стандарти (IASB)</w:t>
      </w:r>
      <w:r w:rsid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разработване на изисквания за оповестяване 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В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че когато в бъдеще Съветът разработва цели и изисквания за оповестяване, член на екипа по Таксономията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ще бъде назначаван в ролята на консултант по всеки от активните проекти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Това взето в порядък на работна хипотеза решение ще съставлява част от </w:t>
      </w:r>
      <w:proofErr w:type="spellStart"/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проекто-насоките</w:t>
      </w:r>
      <w:proofErr w:type="spellEnd"/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след съответното тестване в рамките на проекта относно целевия преглед на оповестяванията на ниво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стандарти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4239D7">
        <w:rPr>
          <w:rFonts w:asciiTheme="minorHAnsi" w:eastAsia="Times New Roman" w:hAnsiTheme="minorHAnsi" w:cs="Helvetica"/>
          <w:color w:val="575757"/>
          <w:szCs w:val="24"/>
          <w:lang w:val="bg-BG"/>
        </w:rPr>
        <w:t>Екипът по Таксономията на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239D7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4239D7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>ще бъде ангажиран, за да помогне на екипите по проектите по-добре да разберат и оценят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съществуващите понастоящем цели и изисквания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проблемни въпроси, с които заинтересованите страни се сблъскват във връзка със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съществуващите понастоящем цели и изисквания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потенциални проблемни въпроси във връзка с предложения за оповестявания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дали предложенията за оповестявания биха могли да бъдат инкорпорирани в МСФО таксономията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взаимовръзката между предложенията за оповестявания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съществуващата понастоящем обща практика на 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съпътстващите материали, като например, насоки за приложение и примери за илюстрация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7D5909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дали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предложенията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 оповестявания са „неутрални от гледна точка на технологиите”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3945C5" w:rsidP="002F79AA">
      <w:pPr>
        <w:widowControl/>
        <w:numPr>
          <w:ilvl w:val="0"/>
          <w:numId w:val="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становищата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получени като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обратна информация 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>от заинтересованите страни във връзка с параграфи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)–(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>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)</w:t>
      </w:r>
      <w:r w:rsidR="007D590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по-горе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>, че допълнително ще разработи подход в пет стъпки във връзка с разработването на целите и изискванията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>Това ще включва вземане под внимание на целите и изискванията за оповестяване на всички етапи на даден проект посредством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D27782" w:rsidP="002F79AA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получаване на разбиране за проблемните въпроси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D27782" w:rsidP="002F79AA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2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 w:rsidR="00CE0302" w:rsidRP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>получаване на разбиране какво искат заинтересованите страни и причините за това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D27782" w:rsidP="002F79AA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3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 w:rsidR="00CE0302" w:rsidRP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получаване на разбиране 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относно това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>какви оповестявания биха се изисквали в подкрепа на предложените изисквания за признаване и оценяване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D27782" w:rsidP="002F79AA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4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извършване на анализ на съотношението разходи - ползи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D27782" w:rsidP="002F79AA">
      <w:pPr>
        <w:widowControl/>
        <w:numPr>
          <w:ilvl w:val="0"/>
          <w:numId w:val="6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5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 w:rsidR="00CE0302" w:rsidRP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E030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получаване на разбиране 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и документиране на ефекта от предложените цели и изисквания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членовете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съгласие, а един - несъгласие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F77AD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Избор на стандарт или стандарти 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Г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бе запознат с обобщение на работата, извършена от екипа, във връзка с избора на един или два стандарта за целевия преглед на оповестяванията на ниво стандарти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3F77AD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3F77AD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</w:t>
      </w:r>
      <w:r w:rsidR="003F77AD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стандарти (IASB)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обсъди обратната информация, получена към момента, във връзка с краткия списък със стандарти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F77AD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F77AD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F77A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не бе поискано да взема каквито и да е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8648D2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Дефиниция </w:t>
      </w:r>
      <w:r w:rsidR="00B074B5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за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ниво на същественост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повторни обсъждания </w:t>
      </w:r>
      <w:r w:rsidR="003945C5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и разисквания 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по проекта</w:t>
      </w:r>
      <w:r w:rsidR="003945C5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11</w:t>
      </w:r>
      <w:r w:rsidR="003F77AD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Д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да потвърди предложеното изменение за включване на концепцията 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„прикриване на информация”в основната дефиниция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з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а ниво на същественост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също така в порядък на работна хипотеза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да замени предложената редакция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текста, поясняващ „прикриване на информация” в пояснителните параграфи с по-ясно описание и примери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четиринадесетте 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съгласие, а един - несъгласие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да потвърди предложеното изменение/изменения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8648D2" w:rsidP="002F79AA">
      <w:pPr>
        <w:widowControl/>
        <w:numPr>
          <w:ilvl w:val="0"/>
          <w:numId w:val="7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които хармонизират терминологията в дефиницията за ниво на същественост с терминологията в Концептуалната рамка за финансово 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8648D2" w:rsidP="002F79AA">
      <w:pPr>
        <w:widowControl/>
        <w:numPr>
          <w:ilvl w:val="0"/>
          <w:numId w:val="7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които ще заменят термина „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биха могли да повлияят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” с „би могло разумно да се очаква да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повлияят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” в дефиницията за ниво на същественост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да замени дефиницията за ниво на същественост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8 </w:t>
      </w:r>
      <w:r w:rsidR="00592DAF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Счетоводна политика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, </w:t>
      </w:r>
      <w:r w:rsidR="00592DAF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промени в счетоводните приблизителни оценки и грешки </w:t>
      </w:r>
      <w:r w:rsidR="008648D2">
        <w:rPr>
          <w:rFonts w:asciiTheme="minorHAnsi" w:eastAsia="Times New Roman" w:hAnsiTheme="minorHAnsi" w:cs="Helvetica"/>
          <w:color w:val="575757"/>
          <w:szCs w:val="24"/>
          <w:lang w:val="bg-BG"/>
        </w:rPr>
        <w:t>с препратка към дефиницията за ниво на същественост и пояснителните параграфи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1 </w:t>
      </w:r>
      <w:r w:rsidR="00592DAF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Представяне на финансови отчети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четиринадесетте 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съгласие, а един - несъгласие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датата на влизане в сила на измененията да бъде за годишни периоди, започващи на или след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януари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2020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г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 разрешено по-ранно прилагане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че към момента няма да бъдат предприемани допълнителни действия в отговор на обратната информация относно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A0640C" w:rsidP="002F79AA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използването на термините „несъществен” и „не е съществен”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A0640C" w:rsidP="002F79AA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различните употреби на термина „съществен”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A0640C" w:rsidP="002F79AA">
      <w:pPr>
        <w:widowControl/>
        <w:numPr>
          <w:ilvl w:val="0"/>
          <w:numId w:val="8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включването на каквато и да е част от Изложението за практика относно нивото на същественост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или Концептуалната рамка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чрез препратка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B074B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303F35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  <w:lang w:val="bg-BG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очаква на следващи свои заседания да продължи с обсъжданията си относно това кой стандарт или кои стандарти да избере за целевия преглед на оповестяванията на ниво стандарти и насоките, които </w:t>
      </w:r>
      <w:r w:rsidR="00A0640C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A0640C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използва, когато разработва или изготвя проектите на изискванията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направи преглед на регламентираната процедура във връзка с проекта, посветен на нивото на същественост</w:t>
      </w:r>
      <w:r w:rsidR="00B074B5"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="00A06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 при необходимост да обсъди въпроси, нуждаещи се от уточняване на бъдещо свое заседание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A0640C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1" w:name="2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Динамично управление на риска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4)</w:t>
      </w:r>
      <w:bookmarkEnd w:id="1"/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20 юни 2018 г</w:t>
      </w:r>
      <w:r w:rsidR="003945C5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  <w:lang w:val="bg-BG"/>
        </w:rPr>
        <w:t>проведе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 изследователския проект, посветен на динамичното управление на риска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4A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предоставя обобщение на проведените до настоящия момент обсъждания единствено с информационна цел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1B5AD9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Деривативи, използвани за целите на динамичното управление на риска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 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4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1B5AD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обсъди деривативните финансови инструменти, които ще бъдат разгледани в рамките на първата фаза на проекта, посветен на динамичното управление на риска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обсъди също така и определянето 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преустановяване на определянето на деривативи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C904AB" w:rsidP="002F79AA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моделът на динамично управление на риска следва да позволява използването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лихвени суапове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базисни суапове и суапове с отложен старт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допълнение към споразуменията за форуърдни проценти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C904AB" w:rsidP="002F79AA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опциите ще бъдат разгледани в рамките на втората фаза на модела в зависимост от получената обратна информация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C904AB" w:rsidP="002F79AA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моделът на динамично управление на риска следва да изисква формално определяне и документиране на деривативите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C904AB" w:rsidP="002F79AA">
      <w:pPr>
        <w:widowControl/>
        <w:numPr>
          <w:ilvl w:val="0"/>
          <w:numId w:val="9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моделът на динамично управление на риска следва да изисква всички определени деривативи да имат контрагент, който да е външен по отношение на отчитащото се предприятие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D2039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AD2039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EF498A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Финансови резултати от дейността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4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В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)</w:t>
      </w:r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4</w:t>
      </w:r>
      <w:r w:rsidR="00EF498A">
        <w:rPr>
          <w:rFonts w:asciiTheme="minorHAnsi" w:eastAsia="Times New Roman" w:hAnsiTheme="minorHAnsi" w:cs="Helvetica"/>
          <w:color w:val="575757"/>
          <w:szCs w:val="24"/>
          <w:lang w:val="bg-BG"/>
        </w:rPr>
        <w:t>В поставя началото на дискусията относно финансовите резултати от дейността в контекста на счетоводния модел на динамично управление на риска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 следното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EF498A" w:rsidP="002F79AA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Перфектно хармонизиране се постига, когато профилът на активите, разгледан съвместно с определените деривативи, се равнява на целевия профил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D2039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AD2039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EF498A" w:rsidP="002F79AA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Резултатите, отчитани в отчета за печалбата или загубата, следва да отразяват целевия профил на предприятието в случая на перфектно хармонизиране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Отсрочването и рекласифицирането представляват механизмите, посредством които счетоводният модел на динамично управление на риска гарантира, че отчетът за печалбата или загубата отразява целевия профил на предприятието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четиринадесетте членове на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решение, а един се въздържа.</w:t>
      </w:r>
    </w:p>
    <w:p w:rsidR="002F79AA" w:rsidRPr="00CB4A04" w:rsidRDefault="00EF498A" w:rsidP="002F79AA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Рекласифицирането следва да се извършва в рамките на времевия хоризонт на целевия профил, така че, заедно с профила на активите, резултатите, отчитани в отчета за печалбата или загубата, да отразяват целевия профил на предприятието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D2039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AD2039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844653" w:rsidP="002F79AA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За да прилагат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>счетоводния модел на динамично управление на риска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предприятията трябва да докажат съществуването на продължаваща икономическа взаимовръзка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но моделът няма да предлага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правило или тест за ясно разграничаване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допълнение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даде указания на екипа допълнително да разшири термина „икономическа взаимовръзка“, за да посочи, че 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>счетоводния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модел на динамично управление на 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риска</w:t>
      </w:r>
      <w:r w:rsidRPr="00844653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изисква повече от „по-добро хармонизиране“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D2039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AD2039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844653" w:rsidP="002F79AA">
      <w:pPr>
        <w:widowControl/>
        <w:numPr>
          <w:ilvl w:val="0"/>
          <w:numId w:val="10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Ако предприятието избере да преустанови прилагането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844653">
        <w:rPr>
          <w:rFonts w:asciiTheme="minorHAnsi" w:eastAsia="Times New Roman" w:hAnsiTheme="minorHAnsi" w:cs="Helvetica"/>
          <w:color w:val="575757"/>
          <w:szCs w:val="24"/>
          <w:lang w:val="bg-BG"/>
        </w:rPr>
        <w:t>счетоводния модел на динамично управление на риска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 паричните потоци от определените активи и пасиви продължават да съществуват и все още се очаква да бъдат осъществявани по-нататъшни сделки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сумата, призната в друг всеобхватен доход, следва да бъде рекласифицирана в течение на срока на целевия профил така, че, заедно с профила на активите, резултатите, отчетени в отчета за печалбата или загубата, да отразяват целевия профил на предприятието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D2039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AD2039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D27782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D2778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A11CE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 отношение на принципа, че рекласифицирането следва да се осъществява в течение на времевия хоризонт на целевия профил,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A11CE2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A11CE2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повдигна въпроса дали суми биха могли да бъдат отсрочвани за срок, надвишаващ договорния падеж на дериватива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Предложеният механизъм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приближаване на стойността към номинала с изтичане на срока по отношение на дериватива, съчетан с рекласифициране на начислените лихви в отчета за печалбата или загубата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—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би гарантирал, че никакво салдо няма да бъде разсрочвано отвъд договорния падеж на дериватива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166253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бъдещи свои заседания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планира да продължи с обсъжданията на резултатите от дейността в контекста на счетоводния модел на динамична управление на риска.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166253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2" w:name="3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Актуална информация за изследователската програма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8)</w:t>
      </w:r>
      <w:bookmarkEnd w:id="2"/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20 юни 2018 г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  <w:lang w:val="bg-BG"/>
        </w:rPr>
        <w:t>проведе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бъде запознат с актуална информация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новите моменти в изследователската си програма след февруари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година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 (</w:t>
      </w:r>
      <w:r w:rsid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Информация относно работната програма на </w:t>
      </w:r>
      <w:r w:rsidR="00166253"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166253"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включително изследователската програма на </w:t>
      </w:r>
      <w:r w:rsidR="003945C5"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945C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945C5"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,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166253">
        <w:rPr>
          <w:rFonts w:asciiTheme="minorHAnsi" w:eastAsia="Times New Roman" w:hAnsiTheme="minorHAnsi" w:cs="Helvetica"/>
          <w:color w:val="575757"/>
          <w:szCs w:val="24"/>
          <w:lang w:val="bg-BG"/>
        </w:rPr>
        <w:t>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hyperlink r:id="rId14" w:history="1">
        <w:r w:rsidR="00166253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достъпна</w:t>
        </w:r>
      </w:hyperlink>
      <w:r w:rsidR="00166253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 xml:space="preserve"> тук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.)</w:t>
      </w:r>
    </w:p>
    <w:p w:rsidR="002F79AA" w:rsidRPr="00CB4A04" w:rsidRDefault="00D27782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не бе поискано да взема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166253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166253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бъде запознат със следващата актуална информация относно изследователската си програма след около три или четири месеца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166253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3" w:name="4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Реформата на междубанковите лихвени проценти и ефектът върху финансовото отчитане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19)</w:t>
      </w:r>
      <w:bookmarkEnd w:id="3"/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20 юни 2018 г.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проведе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 w:rsidR="00592DAF">
        <w:rPr>
          <w:rFonts w:asciiTheme="minorHAnsi" w:eastAsia="Times New Roman" w:hAnsiTheme="minorHAnsi" w:cs="Helvetica"/>
          <w:color w:val="575757"/>
          <w:szCs w:val="24"/>
          <w:lang w:val="bg-BG"/>
        </w:rPr>
        <w:t>предложение за изследователски проект във връзка с реформата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592DAF">
        <w:rPr>
          <w:rFonts w:asciiTheme="minorHAnsi" w:eastAsia="Times New Roman" w:hAnsiTheme="minorHAnsi" w:cs="Helvetica"/>
          <w:color w:val="575757"/>
          <w:szCs w:val="24"/>
          <w:lang w:val="bg-BG"/>
        </w:rPr>
        <w:t>междубанковите лихвени проценти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(IBOR) </w:t>
      </w:r>
      <w:r w:rsidR="00592DAF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 ефекта й върху финансовото </w:t>
      </w:r>
      <w:r w:rsidR="00EF4A97">
        <w:rPr>
          <w:rFonts w:asciiTheme="minorHAnsi" w:eastAsia="Times New Roman" w:hAnsiTheme="minorHAnsi" w:cs="Helvetica"/>
          <w:color w:val="575757"/>
          <w:szCs w:val="24"/>
          <w:lang w:val="bg-BG"/>
        </w:rPr>
        <w:t>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EF4A97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EF4A9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отбеляза спешната необходимост от реформиране на </w:t>
      </w:r>
      <w:r w:rsidRPr="00EF4A97">
        <w:rPr>
          <w:rFonts w:asciiTheme="minorHAnsi" w:eastAsia="Times New Roman" w:hAnsiTheme="minorHAnsi" w:cs="Helvetica"/>
          <w:color w:val="575757"/>
          <w:szCs w:val="24"/>
          <w:lang w:val="bg-BG"/>
        </w:rPr>
        <w:t>междубанковите лихвени проценти</w:t>
      </w:r>
      <w:r w:rsidRPr="00EF4A97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реши да добави изследователски проект по тази тема към активната си изследователска програма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EF4A97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бъдещи свои заседания </w:t>
      </w:r>
      <w:r w:rsidRPr="00EF4A9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ще обсъди предварителните констатации във връзка с проекта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EF4A97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4" w:name="5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Основни финансови отчети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21)</w:t>
      </w:r>
      <w:bookmarkEnd w:id="4"/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21 юни 2018 г.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проведе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обсъди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447747" w:rsidP="002F79AA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Анализ на областите от проекта, в които решенията на Съвета, взети в порядък на работна хипотеза, приложими по отношение на нефинансови предприятия, биха могли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бъдат приложени с малко или никакви изменения спрямо финансови предприятия, включително решенията относно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Оценките на ръководството за резултатите от дейността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Агрегиране и дезагрегиране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Друг всеобхватен доход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447747" w:rsidP="002F79AA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447747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 xml:space="preserve">Анализ на областите от проекта, в които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 ще трябва да коригира взетите в порядък на работна хипотеза решени, за да ги приложи спрямо финансовите предприятия, включително решенията относно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Печалба преди финансиране и данъци върху дохода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Приходи и разходи от инвестиции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447747" w:rsidP="002F79AA">
      <w:pPr>
        <w:widowControl/>
        <w:numPr>
          <w:ilvl w:val="1"/>
          <w:numId w:val="11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Отчет за паричните потоци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447747" w:rsidP="002F79AA">
      <w:pPr>
        <w:widowControl/>
        <w:numPr>
          <w:ilvl w:val="0"/>
          <w:numId w:val="11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Обобщение на изследователската работа във връзка с практиките за отчитане по отношение на извадка от финансови предприятия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60C3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не бе поискано да взема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447747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5" w:name="6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Застрахователни договори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2)</w:t>
      </w:r>
      <w:bookmarkEnd w:id="5"/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21 юни 2018 г.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проведе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 w:rsidR="00447747">
        <w:rPr>
          <w:rFonts w:asciiTheme="minorHAnsi" w:eastAsia="Times New Roman" w:hAnsiTheme="minorHAnsi" w:cs="Helvetica"/>
          <w:color w:val="575757"/>
          <w:szCs w:val="24"/>
          <w:lang w:val="bg-BG"/>
        </w:rPr>
        <w:t>възможни незначителни изменения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Застрахователни договори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44774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като част от годишните подобрения, извършвани от Съвета по международни счетоводни стандарти </w:t>
      </w:r>
      <w:r w:rsidR="00447747">
        <w:rPr>
          <w:rFonts w:asciiTheme="minorHAnsi" w:eastAsia="Times New Roman" w:hAnsiTheme="minorHAnsi" w:cs="Helvetica"/>
          <w:color w:val="575757"/>
          <w:szCs w:val="24"/>
        </w:rPr>
        <w:t>(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IASB</w:t>
      </w:r>
      <w:r w:rsidR="00447747">
        <w:rPr>
          <w:rFonts w:asciiTheme="minorHAnsi" w:eastAsia="Times New Roman" w:hAnsiTheme="minorHAnsi" w:cs="Helvetica"/>
          <w:color w:val="575757"/>
          <w:szCs w:val="24"/>
        </w:rPr>
        <w:t>)</w:t>
      </w:r>
      <w:r w:rsidR="00447747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447747"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C767EB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Годишни подобрения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2A)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767EB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предложи следните незначителни изменения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 (</w:t>
      </w:r>
      <w:r w:rsidR="00C767EB">
        <w:rPr>
          <w:rFonts w:asciiTheme="minorHAnsi" w:eastAsia="Times New Roman" w:hAnsiTheme="minorHAnsi" w:cs="Helvetica"/>
          <w:color w:val="575757"/>
          <w:szCs w:val="24"/>
          <w:lang w:val="bg-BG"/>
        </w:rPr>
        <w:t>и други стандарти, изменени 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17):</w:t>
      </w:r>
    </w:p>
    <w:p w:rsidR="002F79AA" w:rsidRPr="00CB4A04" w:rsidRDefault="00C767EB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измени терминологията в параграф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27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за да включи парични потоци от придобиване на застраховка, отнасящи се до</w:t>
      </w:r>
      <w:r w:rsidR="0029411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застрахователни договори в групата, които все още предстои да бъдат издадени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294115">
        <w:rPr>
          <w:rFonts w:asciiTheme="minorHAnsi" w:eastAsia="Times New Roman" w:hAnsiTheme="minorHAnsi" w:cs="Helvetica"/>
          <w:color w:val="575757"/>
          <w:szCs w:val="24"/>
          <w:lang w:val="bg-BG"/>
        </w:rPr>
        <w:t>Да измени терминологията в параграф</w:t>
      </w:r>
      <w:r w:rsidRPr="0029411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28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за да постигне предвидения момент във времето за признаване на договори в рамките на групата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отстрани изискванията, които биха могли да доведат до двойно броене на корекцията за риск по отношение на нефинансов риск в оповестяванията на равнението в застрахователните договори и анализ на приходите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Да коригира терминологията в оповестяванията на анализа на чувствителността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изключи бизнес комбинациите под общ контрол от обхвата на изискванията по отношение на бизнес комбинациите в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измени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3 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Бизнес комбинации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така, че изменението, направено 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 класификацията на застрахователните договори да се прилага перспективно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Pr="0029411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29411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294115">
        <w:rPr>
          <w:rFonts w:asciiTheme="minorHAnsi" w:eastAsia="Times New Roman" w:hAnsiTheme="minorHAnsi" w:cs="Helvetica"/>
          <w:color w:val="575757"/>
          <w:szCs w:val="24"/>
          <w:lang w:val="bg-BG"/>
        </w:rPr>
        <w:t>членове на Съвета по международни счетоводни стандарти (IASB)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 w:rsidRPr="00294115">
        <w:rPr>
          <w:rFonts w:asciiTheme="minorHAnsi" w:eastAsia="Times New Roman" w:hAnsiTheme="minorHAnsi" w:cs="Helvetica"/>
          <w:color w:val="575757"/>
          <w:szCs w:val="24"/>
          <w:lang w:val="bg-BG"/>
        </w:rPr>
        <w:t>Да измени</w:t>
      </w:r>
      <w:r w:rsidRPr="00294115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7 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Финансови инструменти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: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9 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Финансови инструменти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32 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Финансови инструменти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: </w:t>
      </w:r>
      <w:proofErr w:type="gramStart"/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представяне</w:t>
      </w:r>
      <w:r w:rsidR="00867EF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,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за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да постигне предвидения обхват на тези стандарти за финансови инструменти и обхвата на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по-специално по отношение на държаните застрахователни договори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numPr>
          <w:ilvl w:val="0"/>
          <w:numId w:val="12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добави обяснение, че в Пример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9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 Примерите за илюстрация към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стойността във времето на гаранцията се променя с течение на времето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67EF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="00303F35"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 w:rsidR="00303F35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94115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Годишни подобрения относно</w:t>
      </w:r>
      <w:r w:rsidR="00041F2C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единиците покритие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 (</w:t>
      </w:r>
      <w:r w:rsidR="00D27782">
        <w:rPr>
          <w:rFonts w:asciiTheme="minorHAnsi" w:eastAsia="Times New Roman" w:hAnsiTheme="minorHAnsi" w:cs="Helvetica"/>
          <w:b/>
          <w:bCs/>
          <w:color w:val="333333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 xml:space="preserve"> 2</w:t>
      </w:r>
      <w:r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Б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Cs w:val="24"/>
        </w:rPr>
        <w:t>)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в порядък на работна хипотеза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предложи да поясни дефиницията на периода на покритие по отношение на застрахователни договори с характеристики на пряко участие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>в разпределението на печалбата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Предложеното изменение ще </w:t>
      </w:r>
      <w:r w:rsidR="00867EF2">
        <w:rPr>
          <w:rFonts w:asciiTheme="minorHAnsi" w:eastAsia="Times New Roman" w:hAnsiTheme="minorHAnsi" w:cs="Helvetica"/>
          <w:color w:val="575757"/>
          <w:szCs w:val="24"/>
          <w:lang w:val="bg-BG"/>
        </w:rPr>
        <w:t>пояснява</w:t>
      </w:r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че </w:t>
      </w:r>
      <w:proofErr w:type="gramStart"/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>периодът на покритие за такива договори включва периодите</w:t>
      </w:r>
      <w:proofErr w:type="gramEnd"/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>, в които предприятието предоставя услуги, свързани с инвестиции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041F2C" w:rsidRP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</w:t>
      </w:r>
      <w:r w:rsid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четиринадесетте </w:t>
      </w:r>
      <w:r w:rsidR="00041F2C" w:rsidRP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>членове на Съвета по международни счетоводни стандарти (IASB) изразиха съгласие, а един - несъгласие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041F2C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ще предложи тези изменения в следващата публикация на годишните подобрения на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стандартите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Моментът, в който ще бъдат предложени годишните подобрения ще зависи от идентифицирането на други въпроси, които да бъдат включени в следващото издание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041F2C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бъдещо свое заседание </w:t>
      </w:r>
      <w:r w:rsidRPr="00041F2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ще продължи с обсъжданията относно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17.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CF7488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6" w:name="7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lastRenderedPageBreak/>
        <w:t>Прилагане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12)</w:t>
      </w:r>
      <w:bookmarkEnd w:id="6"/>
    </w:p>
    <w:p w:rsidR="002F79AA" w:rsidRPr="00CB4A04" w:rsidRDefault="0083540C" w:rsidP="002F79AA">
      <w:pPr>
        <w:widowControl/>
        <w:shd w:val="clear" w:color="auto" w:fill="FFFFFF"/>
        <w:suppressAutoHyphens w:val="0"/>
        <w:spacing w:before="300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</w:rPr>
      </w:pP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Наличие на възстановяване на средства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>—</w:t>
      </w:r>
      <w:r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>Изменения в КРМСФО</w:t>
      </w:r>
      <w:r w:rsidR="002F79AA" w:rsidRPr="00CB4A04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</w:rPr>
        <w:t xml:space="preserve"> 14</w:t>
      </w:r>
    </w:p>
    <w:p w:rsidR="002F79AA" w:rsidRPr="00CB4A04" w:rsidRDefault="00CF748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 w:rsid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>бе запознат с актуална информация относно работата, извършена във връзка с предложените изменения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F705D7">
        <w:rPr>
          <w:rFonts w:asciiTheme="minorHAnsi" w:eastAsia="Times New Roman" w:hAnsiTheme="minorHAnsi" w:cs="Helvetica"/>
          <w:color w:val="575757"/>
          <w:szCs w:val="24"/>
          <w:lang w:val="bg-BG"/>
        </w:rPr>
        <w:t>КРМСФО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14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19—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Таван на актив по план с дефинирани доходи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,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изискване за минимално фондово финансиране и взаимодействие между тях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>и обсъди следващите стъпки във връзка с този проект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60C3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Не бяха вземани никакви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CF748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по международни счетоводни стандарти (IASB) ще продължи с обсъжданията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83540C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7" w:name="8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Актуална информация от Консултативната група по ислямски финанси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28)</w:t>
      </w:r>
      <w:bookmarkEnd w:id="7"/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21 юни 2018 г.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проведе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 w:rsid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>актуална информация относно заседанието на Консултативната група по ислямски финанси, проведено в Дубай през март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2018</w:t>
      </w:r>
      <w:r w:rsid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</w:t>
      </w:r>
      <w:r w:rsidR="00CF7488" w:rsidRP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 </w:t>
      </w:r>
      <w:r w:rsid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>не бе поискано да взема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83540C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Вижте повече за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hyperlink r:id="rId15" w:history="1">
        <w:r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Консултативната група по ислямски финанси</w:t>
        </w:r>
      </w:hyperlink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83540C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8" w:name="9"/>
      <w:r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Бизнес комбинации под общ контрол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(</w:t>
      </w:r>
      <w:r w:rsidR="00D27782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b/>
          <w:bCs/>
          <w:color w:val="CD3333"/>
          <w:sz w:val="34"/>
          <w:szCs w:val="34"/>
        </w:rPr>
        <w:t xml:space="preserve"> 23)</w:t>
      </w:r>
      <w:bookmarkEnd w:id="8"/>
    </w:p>
    <w:p w:rsidR="002F79AA" w:rsidRPr="00CB4A04" w:rsidRDefault="00C5608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21 юни 2018 г</w:t>
      </w:r>
      <w:r w:rsidR="008F5942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проведе заседание, за да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</w:t>
      </w:r>
      <w:r w:rsid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>изследователския проект, посветен на Бизнес комбинации под общ контрол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83540C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83540C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продължи започнатите по време на заседанията от април и май 2018 г. обсъждания на подходите на база текуща стойност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по отношение на бизнес комбинации под общ контрол, които засягат неконтролиращи</w:t>
      </w:r>
      <w:bookmarkStart w:id="9" w:name="_GoBack"/>
      <w:bookmarkEnd w:id="9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акционери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CF748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по международни счетоводни стандарти (IASB) </w:t>
      </w:r>
      <w:r w:rsidR="00FA688D">
        <w:rPr>
          <w:rFonts w:asciiTheme="minorHAnsi" w:eastAsia="Times New Roman" w:hAnsiTheme="minorHAnsi" w:cs="Helvetica"/>
          <w:color w:val="575757"/>
          <w:szCs w:val="24"/>
          <w:lang w:val="bg-BG"/>
        </w:rPr>
        <w:t>даде указания на екипа да разработи подход, базиран на метода на придобиването, изложен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3 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Бизнес комбинации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FA688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и да разгледа въпроса дали и как този метод следва да бъде изменен, така че да предостави най-полезна информация </w:t>
      </w:r>
      <w:proofErr w:type="gramStart"/>
      <w:r w:rsidR="00FA688D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FA688D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бизнес комбинациите под общ контрол, които засягат неконтролиращите акционери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FA688D">
        <w:rPr>
          <w:rFonts w:asciiTheme="minorHAnsi" w:eastAsia="Times New Roman" w:hAnsiTheme="minorHAnsi" w:cs="Helvetica"/>
          <w:color w:val="575757"/>
          <w:szCs w:val="24"/>
          <w:lang w:val="bg-BG"/>
        </w:rPr>
        <w:t>Възможните изменения биха могли да включват изисквания получаващото предприятие да извърши едно или повече от следните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FA688D" w:rsidP="002F79AA">
      <w:pPr>
        <w:widowControl/>
        <w:numPr>
          <w:ilvl w:val="0"/>
          <w:numId w:val="13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предостави допълнителни оповестявания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FA688D" w:rsidP="002F79AA">
      <w:pPr>
        <w:widowControl/>
        <w:numPr>
          <w:ilvl w:val="0"/>
          <w:numId w:val="13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признае всяко превишение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над придобитите разграничими нетни активи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като вноска в собствения капитал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вместо да признава това превишение като печалба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или</w:t>
      </w:r>
    </w:p>
    <w:p w:rsidR="002F79AA" w:rsidRPr="00CB4A04" w:rsidRDefault="00FA688D" w:rsidP="002F79AA">
      <w:pPr>
        <w:widowControl/>
        <w:numPr>
          <w:ilvl w:val="0"/>
          <w:numId w:val="13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Да признае всяко превишение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 насрещната престация като разпределение от собствения капитал вместо имплицитно да го включва в първоначалното оценяване на репутацията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Това превишение би могло да бъде оценено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например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чрез сравняване със справедливата стойност на придобития бизнес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наречено „</w:t>
      </w:r>
      <w:proofErr w:type="spell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таванен</w:t>
      </w:r>
      <w:proofErr w:type="spell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подход”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gramStart"/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23)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или чрез прилагане на механизма на тестването за обезценка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36 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Обезценка на активи</w:t>
      </w:r>
      <w:r w:rsidR="008F5942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(</w:t>
      </w:r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наречено „преработен </w:t>
      </w:r>
      <w:proofErr w:type="spellStart"/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таванен</w:t>
      </w:r>
      <w:proofErr w:type="spellEnd"/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подход”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</w:t>
      </w:r>
      <w:proofErr w:type="gramEnd"/>
      <w:r w:rsidR="00D27782">
        <w:rPr>
          <w:rFonts w:asciiTheme="minorHAnsi" w:eastAsia="Times New Roman" w:hAnsiTheme="minorHAnsi" w:cs="Helvetica"/>
          <w:color w:val="575757"/>
          <w:szCs w:val="24"/>
        </w:rPr>
        <w:t xml:space="preserve">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23).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F594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F594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9A7999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ът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реши </w:t>
      </w:r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да не проучва „подхода на пълната справедлива стойност”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. </w:t>
      </w:r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Съгласно този подход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 w:rsid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получаващото предприятие би признало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473F31" w:rsidP="002F79AA">
      <w:pPr>
        <w:widowControl/>
        <w:numPr>
          <w:ilvl w:val="0"/>
          <w:numId w:val="1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Вноска в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собствения капитал или разпределение от собствения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капитал, оценено като разликата между справедливата стойност на прехвърленото възнаграждение и справедливата стойност на придобивания бизнес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473F31" w:rsidP="002F79AA">
      <w:pPr>
        <w:widowControl/>
        <w:numPr>
          <w:ilvl w:val="0"/>
          <w:numId w:val="14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Репутация, оценена като превишението на справедливата стойност на придобивания бизнес над придобитите разграничимите нетни активи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</w:t>
      </w:r>
      <w:r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8F5942">
        <w:rPr>
          <w:rFonts w:asciiTheme="minorHAnsi" w:eastAsia="Times New Roman" w:hAnsiTheme="minorHAnsi" w:cs="Helvetica"/>
          <w:color w:val="575757"/>
          <w:szCs w:val="24"/>
          <w:lang w:val="bg-BG"/>
        </w:rPr>
        <w:t>четиринадесет</w:t>
      </w:r>
      <w:r w:rsidR="008F5942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членове на 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CB4A04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изразиха съгласие с това решение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303F35" w:rsidP="002F79AA">
      <w:pPr>
        <w:widowControl/>
        <w:shd w:val="clear" w:color="auto" w:fill="FFFFFF"/>
        <w:suppressAutoHyphens w:val="0"/>
        <w:spacing w:before="150" w:after="150"/>
        <w:outlineLvl w:val="3"/>
        <w:rPr>
          <w:rFonts w:asciiTheme="minorHAnsi" w:eastAsia="Times New Roman" w:hAnsiTheme="minorHAnsi" w:cs="Helvetica"/>
          <w:color w:val="575757"/>
          <w:sz w:val="27"/>
          <w:szCs w:val="27"/>
        </w:rPr>
      </w:pPr>
      <w:r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Следващ етап</w:t>
      </w:r>
    </w:p>
    <w:p w:rsidR="002F79AA" w:rsidRPr="00CB4A04" w:rsidRDefault="00CF748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F7488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 време на бъдещи свои заседания Съветът по международни счетоводни стандарти (IASB)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продължи обсъжданията относно методите на счетоводно отчитане по отношение на сделки и операции, попадащи в обхвата на този проект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F79AA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</w:p>
    <w:p w:rsidR="002F79AA" w:rsidRPr="00CB4A04" w:rsidRDefault="00473F31" w:rsidP="002F79AA">
      <w:pPr>
        <w:widowControl/>
        <w:shd w:val="clear" w:color="auto" w:fill="FFFFFF"/>
        <w:suppressAutoHyphens w:val="0"/>
        <w:spacing w:before="45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</w:pPr>
      <w:bookmarkStart w:id="10" w:name="10"/>
      <w:bookmarkEnd w:id="10"/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lastRenderedPageBreak/>
        <w:t xml:space="preserve">Съвместно заседание на </w:t>
      </w:r>
      <w:proofErr w:type="gramStart"/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Съвета на САЩ по финансово-счетоводни стандарти (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  <w:t>FASB</w:t>
      </w:r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) и</w:t>
      </w:r>
      <w:r w:rsidR="002F79AA" w:rsidRPr="00CB4A04">
        <w:rPr>
          <w:rFonts w:asciiTheme="minorHAnsi" w:eastAsia="Times New Roman" w:hAnsiTheme="minorHAnsi" w:cs="Helvetica"/>
          <w:b/>
          <w:bCs/>
          <w:color w:val="333333"/>
          <w:sz w:val="34"/>
          <w:szCs w:val="34"/>
        </w:rPr>
        <w:t xml:space="preserve"> </w:t>
      </w:r>
      <w:r w:rsidRPr="00473F31"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Съвет</w:t>
      </w:r>
      <w:r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>а</w:t>
      </w:r>
      <w:proofErr w:type="gramEnd"/>
      <w:r w:rsidRPr="00473F31"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  <w:t xml:space="preserve"> по международни счетоводни стандарти (IASB)</w:t>
      </w:r>
    </w:p>
    <w:p w:rsidR="002F79AA" w:rsidRPr="00CB4A04" w:rsidRDefault="00473F31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19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юни 2018 г</w:t>
      </w:r>
      <w:r w:rsidR="00933E28">
        <w:rPr>
          <w:rFonts w:asciiTheme="minorHAnsi" w:eastAsia="Times New Roman" w:hAnsiTheme="minorHAnsi" w:cs="Helvetica"/>
          <w:color w:val="575757"/>
          <w:szCs w:val="24"/>
          <w:lang w:val="bg-BG"/>
        </w:rPr>
        <w:t>одина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Съветът на САЩ по финансово-счетоводни стандарти (FASB)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заседава заедно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със Съвета</w:t>
      </w:r>
      <w:proofErr w:type="gramEnd"/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международни счетоводни стандарти (IASB) за провеждане на образователна сесия, посветена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</w:p>
    <w:p w:rsidR="002F79AA" w:rsidRPr="00CB4A04" w:rsidRDefault="00473F31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 на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Съвета по международни счетоводни стандарти (IASB)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Подобрения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8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Оперативни сегменти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МСС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34 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Междинно финансово 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посветен на проекта </w:t>
      </w:r>
      <w:proofErr w:type="gramStart"/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отчитането по сегменти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27). </w:t>
      </w:r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Дискусиите на двата </w:t>
      </w:r>
      <w:proofErr w:type="gramStart"/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се фокусираха върху 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AC6749"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proofErr w:type="gramEnd"/>
      <w:r w:rsidR="00AC6749"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 </w:t>
      </w:r>
      <w:r w:rsidR="00AC6749">
        <w:rPr>
          <w:rFonts w:asciiTheme="minorHAnsi" w:eastAsia="Times New Roman" w:hAnsiTheme="minorHAnsi" w:cs="Helvetica"/>
          <w:color w:val="575757"/>
          <w:szCs w:val="24"/>
          <w:lang w:val="bg-BG"/>
        </w:rPr>
        <w:t>и планираните мероприятия от разширената разяснителна програма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AC674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 на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основните финансови отчети и проекта на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посветен на отчитането на финансовите резултати от дейността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21).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Двата Съвета обсъдиха съответния си опит и получената обратна информация по техните проекти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,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  <w:proofErr w:type="gramEnd"/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br/>
      </w:r>
    </w:p>
    <w:p w:rsidR="002F79AA" w:rsidRPr="00CB4A04" w:rsidRDefault="00AC674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Взаимовръзката между това да се изисква допълнително дезагрегиране и дефиниране</w:t>
      </w:r>
      <w:r w:rsidR="002D00A0">
        <w:rPr>
          <w:rFonts w:asciiTheme="minorHAnsi" w:eastAsia="Times New Roman" w:hAnsiTheme="minorHAnsi" w:cs="Helvetica"/>
          <w:color w:val="575757"/>
          <w:szCs w:val="24"/>
          <w:lang w:val="bg-BG"/>
        </w:rPr>
        <w:t>то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междинни сборове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на лицевата страна на отчета или отчетите за финансовите резултати от дейността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AC674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Взаимовръзката между прозрачност и съпоставимост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AC674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Прилагането на съответните им проекти по отношение на финансови предприятия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AC674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 на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инициативата за оповестяване и проекта на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посветен на общата рамка за оповестяване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11).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Обсъждането включваше въпроса как се разработват и формулират изискванията за оповестяване и използването на целите на оповестяването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AC674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Осъществявания от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Преглед след въвеждане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13 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Оценяване по справедлива стойност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измененията към изискванията за оповестяване в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Тема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820,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Оценяване по справедлива стойност</w:t>
      </w:r>
      <w:r w:rsidR="00F705D7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F705D7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произтичащи от проекта на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общата рамка за оповестяване 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>
        <w:rPr>
          <w:rFonts w:asciiTheme="minorHAnsi" w:eastAsia="Times New Roman" w:hAnsiTheme="minorHAnsi" w:cs="Helvetica"/>
          <w:color w:val="575757"/>
          <w:szCs w:val="24"/>
        </w:rPr>
        <w:t xml:space="preserve"> 6).</w:t>
      </w:r>
    </w:p>
    <w:p w:rsidR="002F79AA" w:rsidRPr="00CB4A04" w:rsidRDefault="00AC674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Проектите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репутация и обезценка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18). </w:t>
      </w:r>
      <w:r w:rsidR="00A05439">
        <w:rPr>
          <w:rFonts w:asciiTheme="minorHAnsi" w:eastAsia="Times New Roman" w:hAnsiTheme="minorHAnsi" w:cs="Helvetica"/>
          <w:color w:val="575757"/>
          <w:szCs w:val="24"/>
          <w:lang w:val="bg-BG"/>
        </w:rPr>
        <w:t>Двата Съвета обсъдиха различни аспекти на счетоводното отчитане на репутацията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A0543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Съответните дейности, подкрепящи въвеждането и прилагането на новите стандарти за признаване на приходи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15 </w:t>
      </w:r>
      <w:proofErr w:type="gramStart"/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Приходи от договори с клиенти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Тема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606,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Приходи</w:t>
      </w:r>
      <w:proofErr w:type="gramEnd"/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от договори с клиенти</w:t>
      </w:r>
      <w:r w:rsidR="00F705D7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)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стандартите за лизинга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C56089">
        <w:rPr>
          <w:rFonts w:asciiTheme="minorHAnsi" w:eastAsia="Times New Roman" w:hAnsiTheme="minorHAnsi" w:cs="Helvetica"/>
          <w:color w:val="575757"/>
          <w:szCs w:val="24"/>
        </w:rPr>
        <w:t>МСФО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16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>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Лизинг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Тема</w:t>
      </w:r>
      <w:r w:rsidR="002F79AA" w:rsidRPr="00CB4A04">
        <w:rPr>
          <w:rFonts w:asciiTheme="minorHAnsi" w:eastAsia="Times New Roman" w:hAnsiTheme="minorHAnsi" w:cs="Helvetica"/>
          <w:i/>
          <w:iCs/>
          <w:color w:val="575757"/>
          <w:szCs w:val="24"/>
        </w:rPr>
        <w:t xml:space="preserve"> 842,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Лизинг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)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12).</w:t>
      </w:r>
    </w:p>
    <w:p w:rsidR="002F79AA" w:rsidRPr="00CB4A04" w:rsidRDefault="00A05439" w:rsidP="002F79AA">
      <w:pPr>
        <w:widowControl/>
        <w:numPr>
          <w:ilvl w:val="0"/>
          <w:numId w:val="15"/>
        </w:numPr>
        <w:shd w:val="clear" w:color="auto" w:fill="FFFFFF"/>
        <w:suppressAutoHyphens w:val="0"/>
        <w:spacing w:before="75" w:after="75"/>
        <w:ind w:left="49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Обобщение на проектите, които не бяха обсъдени на друго основание в течение на деня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(</w:t>
      </w:r>
      <w:r w:rsidR="00D27782">
        <w:rPr>
          <w:rFonts w:asciiTheme="minorHAnsi" w:eastAsia="Times New Roman" w:hAnsiTheme="minorHAnsi" w:cs="Helvetica"/>
          <w:color w:val="575757"/>
          <w:szCs w:val="24"/>
        </w:rPr>
        <w:t>Документ по програмата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15),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с фокус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върху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:</w:t>
      </w:r>
      <w:proofErr w:type="gramEnd"/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br/>
      </w:r>
    </w:p>
    <w:p w:rsidR="002F79AA" w:rsidRPr="00CB4A04" w:rsidRDefault="00A0543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Издадената неотдавна от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proofErr w:type="gramStart"/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F705D7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 рамка за финансово отчитане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proofErr w:type="gramEnd"/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, Концептуална рамка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;</w:t>
      </w:r>
    </w:p>
    <w:p w:rsidR="002F79AA" w:rsidRPr="00CB4A04" w:rsidRDefault="00A0543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финансовите инструменти с характеристики на собствен капитал и 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относно пасивите и собствения капитал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;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</w:t>
      </w:r>
    </w:p>
    <w:p w:rsidR="002F79AA" w:rsidRPr="00CB4A04" w:rsidRDefault="00A05439" w:rsidP="002F79AA">
      <w:pPr>
        <w:widowControl/>
        <w:numPr>
          <w:ilvl w:val="1"/>
          <w:numId w:val="15"/>
        </w:numPr>
        <w:shd w:val="clear" w:color="auto" w:fill="FFFFFF"/>
        <w:suppressAutoHyphens w:val="0"/>
        <w:spacing w:before="75" w:after="75"/>
        <w:ind w:left="1215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Изследователския проект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 xml:space="preserve"> 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proofErr w:type="gramStart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променливото </w:t>
      </w:r>
      <w:r w:rsidR="002D00A0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възнаграждение 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и условно</w:t>
      </w:r>
      <w:r w:rsidR="002D00A0">
        <w:rPr>
          <w:rFonts w:asciiTheme="minorHAnsi" w:eastAsia="Times New Roman" w:hAnsiTheme="minorHAnsi" w:cs="Helvetica"/>
          <w:color w:val="575757"/>
          <w:szCs w:val="24"/>
          <w:lang w:val="bg-BG"/>
        </w:rPr>
        <w:t>то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възнаграждение и проекта на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 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а</w:t>
      </w:r>
      <w:r w:rsidRPr="00473F31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САЩ по финансово-счетоводни стандарти (FASB)</w:t>
      </w: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относно подобряване на счетоводното отчитане на придобиването на активи и бизнес комбинации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2F79AA" w:rsidRPr="00CB4A04" w:rsidRDefault="00260C38" w:rsidP="002F79AA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</w:rPr>
      </w:pPr>
      <w:r>
        <w:rPr>
          <w:rFonts w:asciiTheme="minorHAnsi" w:eastAsia="Times New Roman" w:hAnsiTheme="minorHAnsi" w:cs="Helvetica"/>
          <w:color w:val="575757"/>
          <w:szCs w:val="24"/>
          <w:lang w:val="bg-BG"/>
        </w:rPr>
        <w:t>От двата съвета не бе поискано да вземат решения</w:t>
      </w:r>
      <w:r w:rsidR="002F79AA" w:rsidRPr="00CB4A04">
        <w:rPr>
          <w:rFonts w:asciiTheme="minorHAnsi" w:eastAsia="Times New Roman" w:hAnsiTheme="minorHAnsi" w:cs="Helvetica"/>
          <w:color w:val="575757"/>
          <w:szCs w:val="24"/>
        </w:rPr>
        <w:t>.</w:t>
      </w:r>
    </w:p>
    <w:p w:rsidR="00B84CAA" w:rsidRPr="00CB4A04" w:rsidRDefault="00B84CAA">
      <w:pPr>
        <w:rPr>
          <w:rFonts w:asciiTheme="minorHAnsi" w:hAnsiTheme="minorHAnsi"/>
        </w:rPr>
      </w:pPr>
    </w:p>
    <w:sectPr w:rsidR="00B84CAA" w:rsidRPr="00CB4A04" w:rsidSect="0026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B1B"/>
    <w:multiLevelType w:val="multilevel"/>
    <w:tmpl w:val="3AF4FFB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E2F18"/>
    <w:multiLevelType w:val="multilevel"/>
    <w:tmpl w:val="5C34AC1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43C14"/>
    <w:multiLevelType w:val="multilevel"/>
    <w:tmpl w:val="0B50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565D7"/>
    <w:multiLevelType w:val="multilevel"/>
    <w:tmpl w:val="FDFEACA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09451E"/>
    <w:multiLevelType w:val="multilevel"/>
    <w:tmpl w:val="3B4E9A2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C6F5D"/>
    <w:multiLevelType w:val="multilevel"/>
    <w:tmpl w:val="6F90433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75679"/>
    <w:multiLevelType w:val="multilevel"/>
    <w:tmpl w:val="AEFCAFC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332E0"/>
    <w:multiLevelType w:val="multilevel"/>
    <w:tmpl w:val="4F749B1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FA6340"/>
    <w:multiLevelType w:val="multilevel"/>
    <w:tmpl w:val="D1C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426325"/>
    <w:multiLevelType w:val="multilevel"/>
    <w:tmpl w:val="45BE0CA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F6838"/>
    <w:multiLevelType w:val="multilevel"/>
    <w:tmpl w:val="D544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9F414D"/>
    <w:multiLevelType w:val="multilevel"/>
    <w:tmpl w:val="93D4B32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A2D8A"/>
    <w:multiLevelType w:val="multilevel"/>
    <w:tmpl w:val="48E4C7C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F7F43"/>
    <w:multiLevelType w:val="multilevel"/>
    <w:tmpl w:val="055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1763F"/>
    <w:multiLevelType w:val="multilevel"/>
    <w:tmpl w:val="3E408E7A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F79AA"/>
    <w:rsid w:val="00041F2C"/>
    <w:rsid w:val="00166253"/>
    <w:rsid w:val="001B5AD9"/>
    <w:rsid w:val="00260C38"/>
    <w:rsid w:val="00264A55"/>
    <w:rsid w:val="00294115"/>
    <w:rsid w:val="002D00A0"/>
    <w:rsid w:val="002F79AA"/>
    <w:rsid w:val="00303F35"/>
    <w:rsid w:val="003945C5"/>
    <w:rsid w:val="003F77AD"/>
    <w:rsid w:val="004239D7"/>
    <w:rsid w:val="00447747"/>
    <w:rsid w:val="00473F31"/>
    <w:rsid w:val="00592DAF"/>
    <w:rsid w:val="006A0256"/>
    <w:rsid w:val="006D0F14"/>
    <w:rsid w:val="007D5909"/>
    <w:rsid w:val="0083540C"/>
    <w:rsid w:val="00844653"/>
    <w:rsid w:val="008648D2"/>
    <w:rsid w:val="00867EF2"/>
    <w:rsid w:val="008816EC"/>
    <w:rsid w:val="008F5942"/>
    <w:rsid w:val="00933E28"/>
    <w:rsid w:val="00950BEE"/>
    <w:rsid w:val="009A7999"/>
    <w:rsid w:val="00A05439"/>
    <w:rsid w:val="00A0640C"/>
    <w:rsid w:val="00A11CE2"/>
    <w:rsid w:val="00A20BB6"/>
    <w:rsid w:val="00AA091E"/>
    <w:rsid w:val="00AC6749"/>
    <w:rsid w:val="00AD2039"/>
    <w:rsid w:val="00B074B5"/>
    <w:rsid w:val="00B84CAA"/>
    <w:rsid w:val="00BF3CDD"/>
    <w:rsid w:val="00C46887"/>
    <w:rsid w:val="00C53C34"/>
    <w:rsid w:val="00C56089"/>
    <w:rsid w:val="00C767EB"/>
    <w:rsid w:val="00C904AB"/>
    <w:rsid w:val="00CB4A04"/>
    <w:rsid w:val="00CE0302"/>
    <w:rsid w:val="00CF7488"/>
    <w:rsid w:val="00D27782"/>
    <w:rsid w:val="00D7210D"/>
    <w:rsid w:val="00E73D70"/>
    <w:rsid w:val="00E938E7"/>
    <w:rsid w:val="00EF498A"/>
    <w:rsid w:val="00EF4A97"/>
    <w:rsid w:val="00F705D7"/>
    <w:rsid w:val="00FA688D"/>
    <w:rsid w:val="00FD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0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2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june-2018/" TargetMode="External"/><Relationship Id="rId13" Type="http://schemas.openxmlformats.org/officeDocument/2006/relationships/hyperlink" Target="https://www.ifrs.org/news-and-events/updates/iasb-updates/june-20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june-2018/" TargetMode="External"/><Relationship Id="rId12" Type="http://schemas.openxmlformats.org/officeDocument/2006/relationships/hyperlink" Target="https://www.ifrs.org/news-and-events/updates/iasb-updates/june-201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june-2018/" TargetMode="External"/><Relationship Id="rId11" Type="http://schemas.openxmlformats.org/officeDocument/2006/relationships/hyperlink" Target="https://www.ifrs.org/news-and-events/updates/iasb-updates/june-2018/" TargetMode="External"/><Relationship Id="rId5" Type="http://schemas.openxmlformats.org/officeDocument/2006/relationships/hyperlink" Target="https://www.ifrs.org/news-and-events/updates/iasb-updates/june-2018/" TargetMode="External"/><Relationship Id="rId15" Type="http://schemas.openxmlformats.org/officeDocument/2006/relationships/hyperlink" Target="https://www.ifrs.org/groups/islamic-finance-consultative-group/" TargetMode="External"/><Relationship Id="rId10" Type="http://schemas.openxmlformats.org/officeDocument/2006/relationships/hyperlink" Target="https://www.ifrs.org/news-and-events/updates/iasb-updates/june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june-2018/" TargetMode="External"/><Relationship Id="rId14" Type="http://schemas.openxmlformats.org/officeDocument/2006/relationships/hyperlink" Target="https://www.ifrs.org/projects/work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15</Pages>
  <Words>4146</Words>
  <Characters>25742</Characters>
  <Application>Microsoft Office Word</Application>
  <DocSecurity>0</DocSecurity>
  <Lines>489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19</cp:revision>
  <dcterms:created xsi:type="dcterms:W3CDTF">2018-07-04T07:27:00Z</dcterms:created>
  <dcterms:modified xsi:type="dcterms:W3CDTF">2018-07-05T05:17:00Z</dcterms:modified>
</cp:coreProperties>
</file>